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DE92A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68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FC3B7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140"/>
      <w:r>
        <w:rPr>
          <w:rFonts w:hint="eastAsia"/>
          <w:lang w:val="en-US" w:eastAsia="zh-CN"/>
        </w:rPr>
        <w:t>服务台管理制度</w:t>
      </w:r>
      <w:bookmarkEnd w:id="1"/>
    </w:p>
    <w:p w14:paraId="0D8944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E1E9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F3D7D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3A61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2B24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B7340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96BD0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708D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DAABB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E94A8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B4D841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681557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175117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D516DD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0B04D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_Toc9685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ACD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服务台管理制度</w:t>
          </w:r>
          <w:r>
            <w:tab/>
          </w:r>
          <w:r>
            <w:fldChar w:fldCharType="begin"/>
          </w:r>
          <w:r>
            <w:instrText xml:space="preserve"> PAGEREF _Toc28140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5B9E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_Toc28916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FC81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_Toc6243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20DB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6B93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_Toc22367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3690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_Toc18746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A421A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数智运营部经理</w:t>
          </w:r>
          <w:r>
            <w:tab/>
          </w:r>
          <w:r>
            <w:fldChar w:fldCharType="begin"/>
          </w:r>
          <w:r>
            <w:instrText xml:space="preserve"> PAGEREF _Toc25585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65D68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服务台</w:t>
          </w:r>
          <w:r>
            <w:rPr>
              <w:rFonts w:hint="eastAsia"/>
              <w:lang w:val="en-US" w:eastAsia="zh-CN"/>
            </w:rPr>
            <w:t>专员</w:t>
          </w:r>
          <w:r>
            <w:tab/>
          </w:r>
          <w:r>
            <w:fldChar w:fldCharType="begin"/>
          </w:r>
          <w:r>
            <w:instrText xml:space="preserve"> PAGEREF _Toc29349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CA74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_Toc23282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EFAC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_Toc4606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B51F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事件</w:t>
          </w:r>
          <w:r>
            <w:tab/>
          </w:r>
          <w:r>
            <w:fldChar w:fldCharType="begin"/>
          </w:r>
          <w:r>
            <w:instrText xml:space="preserve"> PAGEREF _Toc21873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CEC3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服务请求</w:t>
          </w:r>
          <w:r>
            <w:tab/>
          </w:r>
          <w:r>
            <w:fldChar w:fldCharType="begin"/>
          </w:r>
          <w:r>
            <w:instrText xml:space="preserve"> PAGEREF _Toc26629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9FD14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_Toc5487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94C7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二线技术支持</w:t>
          </w:r>
          <w:r>
            <w:tab/>
          </w:r>
          <w:r>
            <w:fldChar w:fldCharType="begin"/>
          </w:r>
          <w:r>
            <w:instrText xml:space="preserve"> PAGEREF _Toc10736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5292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_Toc29086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DDC5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接入与记录</w:t>
          </w:r>
          <w:r>
            <w:tab/>
          </w:r>
          <w:r>
            <w:fldChar w:fldCharType="begin"/>
          </w:r>
          <w:r>
            <w:instrText xml:space="preserve"> PAGEREF _Toc14515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9628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分类与初步支持</w:t>
          </w:r>
          <w:r>
            <w:tab/>
          </w:r>
          <w:r>
            <w:fldChar w:fldCharType="begin"/>
          </w:r>
          <w:r>
            <w:instrText xml:space="preserve"> PAGEREF _Toc16386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EA1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派发与升级</w:t>
          </w:r>
          <w:r>
            <w:tab/>
          </w:r>
          <w:r>
            <w:fldChar w:fldCharType="begin"/>
          </w:r>
          <w:r>
            <w:instrText xml:space="preserve"> PAGEREF _Toc12191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C21A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调查与解决</w:t>
          </w:r>
          <w:r>
            <w:tab/>
          </w:r>
          <w:r>
            <w:fldChar w:fldCharType="begin"/>
          </w:r>
          <w:r>
            <w:instrText xml:space="preserve"> PAGEREF _Toc16030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271E8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回访与关闭</w:t>
          </w:r>
          <w:r>
            <w:tab/>
          </w:r>
          <w:r>
            <w:fldChar w:fldCharType="begin"/>
          </w:r>
          <w:r>
            <w:instrText xml:space="preserve"> PAGEREF _Toc27856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AAE6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监控上报事件处理</w:t>
          </w:r>
          <w:r>
            <w:tab/>
          </w:r>
          <w:r>
            <w:fldChar w:fldCharType="begin"/>
          </w:r>
          <w:r>
            <w:instrText xml:space="preserve"> PAGEREF _Toc12954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7EEA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A4B11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_Toc31108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5D69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_Toc13485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C99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_Toc26002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8C2A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5EB7B5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243EB0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23D308A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为规范服务台工作的标准化、流程化管理，确保事件与服务请求的及时响应、有效处理和闭环跟踪，提升运维服务效率与用户满意度，特制定本制度。</w:t>
      </w:r>
    </w:p>
    <w:p w14:paraId="3B56A24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6825B21D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本制度适用于公司所有通过服务台受理的运维事件、服务请求及相关咨询的处理与管理。</w:t>
      </w:r>
    </w:p>
    <w:p w14:paraId="5917D23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服务时间与接入方式</w:t>
      </w:r>
    </w:p>
    <w:p w14:paraId="5973E560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服务台提供以下接入渠道，服务时间为工作日 5×8小时（周一至周五，每日8 小时）：</w:t>
      </w:r>
    </w:p>
    <w:p w14:paraId="43DD75A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服务热线：010-58103028</w:t>
      </w:r>
    </w:p>
    <w:p w14:paraId="275A5D9F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服务邮箱：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"mailto:xuchaochao.xy&lt;xuchaochao.xy@chinaccs.cn&gt;" </w:instrText>
      </w:r>
      <w:r>
        <w:rPr>
          <w:rFonts w:hint="eastAsia"/>
        </w:rPr>
        <w:fldChar w:fldCharType="separate"/>
      </w:r>
      <w:r>
        <w:rPr>
          <w:rStyle w:val="24"/>
          <w:rFonts w:hint="eastAsia"/>
        </w:rPr>
        <w:t>&lt;xuchaochao.xy@chinaccs.cn&gt;</w:t>
      </w:r>
      <w:r>
        <w:rPr>
          <w:rFonts w:hint="eastAsia"/>
        </w:rPr>
        <w:fldChar w:fldCharType="end"/>
      </w:r>
    </w:p>
    <w:p w14:paraId="0E96F78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工单系统：</w:t>
      </w:r>
      <w:r>
        <w:rPr>
          <w:rFonts w:hint="eastAsia"/>
          <w:lang w:val="en-US" w:eastAsia="zh-CN"/>
        </w:rPr>
        <w:t>禅道</w:t>
      </w:r>
    </w:p>
    <w:p w14:paraId="7BE5F4B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服务台职责</w:t>
      </w:r>
    </w:p>
    <w:p w14:paraId="6F2C0B25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服务台是用户与运维团队之间的统一接口，主要职责包括：</w:t>
      </w:r>
    </w:p>
    <w:p w14:paraId="76A0A7F7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受理用户事件、服务请求及咨询，并完整记录；</w:t>
      </w:r>
    </w:p>
    <w:p w14:paraId="7B13C88A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对事件进行分类、初步诊断与优先级划分；</w:t>
      </w:r>
    </w:p>
    <w:p w14:paraId="49B2A49E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对可即时处理的事件进行解决，对无法处理的事件派发至对应支持人员；</w:t>
      </w:r>
    </w:p>
    <w:p w14:paraId="43885858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跟踪事件处理进度，及时向用户反馈状态；</w:t>
      </w:r>
    </w:p>
    <w:p w14:paraId="40F614FF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处理完成后进行用户回访，确认解决情况并关闭工单；</w:t>
      </w:r>
    </w:p>
    <w:p w14:paraId="4F98390B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定期汇总服务数据，协助优化服务流程；</w:t>
      </w:r>
    </w:p>
    <w:p w14:paraId="5993C3D9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严格执行信息保密制度，保护用户与公司数据安全。</w:t>
      </w:r>
    </w:p>
    <w:p w14:paraId="2ADDCD2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事件/服务请求处理流程</w:t>
      </w:r>
    </w:p>
    <w:p w14:paraId="41186E8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记录与受理</w:t>
      </w:r>
    </w:p>
    <w:p w14:paraId="01ED841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所有用户提交的事件、服务请求均需在工单系统中创建记录；</w:t>
      </w:r>
    </w:p>
    <w:p w14:paraId="5FAF1B6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记录信息应包括：用户信息、问题描述、发生时间、影响范围、紧急程度等；</w:t>
      </w:r>
    </w:p>
    <w:p w14:paraId="49CAEA41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服务台人员应在受理后 15 分钟内进行初步响应。</w:t>
      </w:r>
    </w:p>
    <w:p w14:paraId="16A3776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分类与派发</w:t>
      </w:r>
    </w:p>
    <w:p w14:paraId="475CC63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根据事件性质进行分类（如：系统故障、应用问题、咨询类、服务请求等）；</w:t>
      </w:r>
    </w:p>
    <w:p w14:paraId="5CAA9882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若服务台可即时解决，则直接处理并进入回访环节；</w:t>
      </w:r>
    </w:p>
    <w:p w14:paraId="40B6A7C3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若需技术支持，则派发至相应二线或三线支持人员，并明确处理时限。</w:t>
      </w:r>
    </w:p>
    <w:p w14:paraId="107B9E5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处理与跟踪</w:t>
      </w:r>
    </w:p>
    <w:p w14:paraId="660539B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支持人员接收工单后应及时处理，更新处理进展；</w:t>
      </w:r>
    </w:p>
    <w:p w14:paraId="128A889D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服务台负责跟踪整体处理进度，协调资源，确保事件按时解决；</w:t>
      </w:r>
    </w:p>
    <w:p w14:paraId="53343E4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如遇疑难或重大事件，应启动升级机制并通知相关负责人。</w:t>
      </w:r>
    </w:p>
    <w:p w14:paraId="2BC88E3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回访与关闭</w:t>
      </w:r>
    </w:p>
    <w:p w14:paraId="4C12179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事件处理完毕后，服务台应在24小时内进行用户回访；</w:t>
      </w:r>
    </w:p>
    <w:p w14:paraId="3E9D582F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确认问题已解决且用户满意后，方可关闭工单；</w:t>
      </w:r>
    </w:p>
    <w:p w14:paraId="127ECA8E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若用户反馈未解决，则重新派发或升级处理。</w:t>
      </w:r>
    </w:p>
    <w:p w14:paraId="04AF39B8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18165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1B8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C95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5458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84CA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08522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6304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bookmarkStart w:id="2" w:name="_GoBack" w:colFirst="0" w:colLast="3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服务台派单成功率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6247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67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【1-（退回的派单/派单总数）】*100%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B28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bookmarkEnd w:id="2"/>
    </w:tbl>
    <w:p w14:paraId="7C0EFE9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 w14:paraId="278A1B8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1FC569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BC567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9DBD0DF"/>
    <w:multiLevelType w:val="singleLevel"/>
    <w:tmpl w:val="E9DBD0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095AB3"/>
    <w:rsid w:val="0C6B1986"/>
    <w:rsid w:val="116009AD"/>
    <w:rsid w:val="24F247E1"/>
    <w:rsid w:val="25BA5ED0"/>
    <w:rsid w:val="323D7A6A"/>
    <w:rsid w:val="35CF6897"/>
    <w:rsid w:val="43DC2BEB"/>
    <w:rsid w:val="4A782599"/>
    <w:rsid w:val="4B7A3887"/>
    <w:rsid w:val="59140E77"/>
    <w:rsid w:val="62600BF4"/>
    <w:rsid w:val="74CB28DA"/>
    <w:rsid w:val="7EEB2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1003</Words>
  <Characters>1160</Characters>
  <Lines>0</Lines>
  <Paragraphs>0</Paragraphs>
  <TotalTime>0</TotalTime>
  <ScaleCrop>false</ScaleCrop>
  <LinksUpToDate>false</LinksUpToDate>
  <CharactersWithSpaces>1267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2026-01-20T13:31:37Z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