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4E0AB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791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6AA8EFD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6158"/>
      <w:r>
        <w:rPr>
          <w:rFonts w:hint="eastAsia"/>
          <w:lang w:val="en-US" w:eastAsia="zh-CN"/>
        </w:rPr>
        <w:t>服务数据管理制度</w:t>
      </w:r>
      <w:bookmarkEnd w:id="1"/>
    </w:p>
    <w:p w14:paraId="6E1E46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C1E43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5A8A6E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7605E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173DB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CC173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521BF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26207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1B813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57FA60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2A8AC82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CA54C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C930A3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8D8E5C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5D0364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_Toc28791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26729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服务数据管理制度</w:t>
          </w:r>
          <w:r>
            <w:tab/>
          </w:r>
          <w:r>
            <w:fldChar w:fldCharType="begin"/>
          </w:r>
          <w:r>
            <w:instrText xml:space="preserve"> PAGEREF _Toc16158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41EF6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_Toc5630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53624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_Toc7056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D148C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_Toc13368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4B632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_Toc22105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88F9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_Toc13077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5797D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数智运营部</w:t>
          </w:r>
          <w:r>
            <w:tab/>
          </w:r>
          <w:r>
            <w:fldChar w:fldCharType="begin"/>
          </w:r>
          <w:r>
            <w:instrText xml:space="preserve"> PAGEREF _Toc32054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548BE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质量管理部</w:t>
          </w:r>
          <w:r>
            <w:tab/>
          </w:r>
          <w:r>
            <w:fldChar w:fldCharType="begin"/>
          </w:r>
          <w:r>
            <w:instrText xml:space="preserve"> PAGEREF _Toc16583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BEFDA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1.4.3. 研究总院</w:t>
          </w:r>
          <w:r>
            <w:tab/>
          </w:r>
          <w:r>
            <w:fldChar w:fldCharType="begin"/>
          </w:r>
          <w:r>
            <w:instrText xml:space="preserve"> PAGEREF _Toc1895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DA673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1.4.4. 人力部</w:t>
          </w:r>
          <w:r>
            <w:tab/>
          </w:r>
          <w:r>
            <w:fldChar w:fldCharType="begin"/>
          </w:r>
          <w:r>
            <w:instrText xml:space="preserve"> PAGEREF _Toc23035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7D76B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1.4.5. 采购部</w:t>
          </w:r>
          <w:r>
            <w:tab/>
          </w:r>
          <w:r>
            <w:fldChar w:fldCharType="begin"/>
          </w:r>
          <w:r>
            <w:instrText xml:space="preserve"> PAGEREF _Toc8083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AF540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_Toc17601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47D96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_Toc10624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5BE85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运维服务数据</w:t>
          </w:r>
          <w:r>
            <w:tab/>
          </w:r>
          <w:r>
            <w:fldChar w:fldCharType="begin"/>
          </w:r>
          <w:r>
            <w:instrText xml:space="preserve"> PAGEREF _Toc7130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F50F8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数据资产目录</w:t>
          </w:r>
          <w:r>
            <w:tab/>
          </w:r>
          <w:r>
            <w:fldChar w:fldCharType="begin"/>
          </w:r>
          <w:r>
            <w:instrText xml:space="preserve"> PAGEREF _Toc19131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E401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数据定级</w:t>
          </w:r>
          <w:r>
            <w:tab/>
          </w:r>
          <w:r>
            <w:fldChar w:fldCharType="begin"/>
          </w:r>
          <w:r>
            <w:instrText xml:space="preserve"> PAGEREF _Toc13630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5E1F8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_Toc13680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73D0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数据分类与定级</w:t>
          </w:r>
          <w:r>
            <w:tab/>
          </w:r>
          <w:r>
            <w:fldChar w:fldCharType="begin"/>
          </w:r>
          <w:r>
            <w:instrText xml:space="preserve"> PAGEREF _Toc17950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330EB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数据质量管理</w:t>
          </w:r>
          <w:r>
            <w:tab/>
          </w:r>
          <w:r>
            <w:fldChar w:fldCharType="begin"/>
          </w:r>
          <w:r>
            <w:instrText xml:space="preserve"> PAGEREF _Toc12023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68109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数据安全管理</w:t>
          </w:r>
          <w:r>
            <w:tab/>
          </w:r>
          <w:r>
            <w:fldChar w:fldCharType="begin"/>
          </w:r>
          <w:r>
            <w:instrText xml:space="preserve"> PAGEREF _Toc30640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8470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数据生命周期管理</w:t>
          </w:r>
          <w:r>
            <w:tab/>
          </w:r>
          <w:r>
            <w:fldChar w:fldCharType="begin"/>
          </w:r>
          <w:r>
            <w:instrText xml:space="preserve"> PAGEREF _Toc22505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4316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数据驱动决策机制</w:t>
          </w:r>
          <w:r>
            <w:tab/>
          </w:r>
          <w:r>
            <w:fldChar w:fldCharType="begin"/>
          </w:r>
          <w:r>
            <w:instrText xml:space="preserve"> PAGEREF _Toc31613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7F69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_Toc10681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A66C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_Toc25359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FD983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_Toc32285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B09F4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535412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B02DC5C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</w:t>
      </w:r>
    </w:p>
    <w:p w14:paraId="2CC4081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信息技术服务过程中产生的各类服务数据的管理，确保数据的准确性、完整性、安全性和可用性，通过对服务数据的有效采集、分析与应用，驱动服务能力提升、支持管理决策，并为ITSS符合性评估及服务改进提供客观依据，特制定本制度。</w:t>
      </w:r>
    </w:p>
    <w:p w14:paraId="78660126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适用范围</w:t>
      </w:r>
    </w:p>
    <w:p w14:paraId="61145A7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本制度适用于公司运维服务活动中产生的所有服务数据，涵盖其识别、采集、存储、处理、分析、应用、归档及销毁的全生命周期管理。涉及部门包括数智运营部、质量管理部、研究总院、应急管理部等。</w:t>
      </w:r>
    </w:p>
    <w:p w14:paraId="60D08845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定义与术语</w:t>
      </w:r>
    </w:p>
    <w:p w14:paraId="011EFE30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</w:t>
      </w:r>
    </w:p>
    <w:p w14:paraId="58E97FD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在运维服务交付、管理及支持过程中产生、记录和积累的所有结构化或非结构化数据，用于反映服务状态、质量、效率及客户满意度等信息。</w:t>
      </w:r>
    </w:p>
    <w:p w14:paraId="018F3049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服务数据全生命周期</w:t>
      </w:r>
    </w:p>
    <w:p w14:paraId="230DF90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指服务数据从产生（采集）、存储、处理、分析、应用、归档到最终销毁的完整过程。</w:t>
      </w:r>
    </w:p>
    <w:p w14:paraId="0465611C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关键服务数据</w:t>
      </w:r>
    </w:p>
    <w:p w14:paraId="3E200F7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对服务级别协议（SLA）达成、根本原因分析、服务决策有重大影响的数据，如事件解决时长、系统可用率、客户满意度评分等。</w:t>
      </w:r>
    </w:p>
    <w:p w14:paraId="7DB2ABE3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管理职责</w:t>
      </w:r>
    </w:p>
    <w:p w14:paraId="7A90A7C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</w:t>
      </w:r>
    </w:p>
    <w:p w14:paraId="22ACB977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作为服务数据管理的归口部门，负责制定并维护本制度及实施细则。</w:t>
      </w:r>
    </w:p>
    <w:p w14:paraId="3383FB51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负责服务数据的日常采集、清洗、存储和维护，确保数据源的稳定与数据质量。</w:t>
      </w:r>
    </w:p>
    <w:p w14:paraId="6E4927B3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负责服务数据的常规分析与应用，编制服务报告（如SLA报告、运营月报）。</w:t>
      </w:r>
    </w:p>
    <w:p w14:paraId="54ECDC85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基于数据分析结果，识别服务改进点并推动落实。</w:t>
      </w:r>
    </w:p>
    <w:p w14:paraId="2071A4E9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</w:t>
      </w:r>
    </w:p>
    <w:p w14:paraId="3DAC7D4A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负责监督服务数据管理过程的合规性及数据质量。</w:t>
      </w:r>
    </w:p>
    <w:p w14:paraId="0A8AF221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负责对服务数据分析结果进行评审，确认其用于管理评审与持续改进的有效性。</w:t>
      </w:r>
    </w:p>
    <w:p w14:paraId="09C038A8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负责组织基于服务数据的客户满意度调查与分析。</w:t>
      </w:r>
    </w:p>
    <w:p w14:paraId="04175ED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研究总院</w:t>
      </w:r>
    </w:p>
    <w:p w14:paraId="386FE8ED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负责提供或开发服务数据采集、存储与分析所需的技术工具与平台支持。</w:t>
      </w:r>
    </w:p>
    <w:p w14:paraId="4843AD98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协助解决服务数据管理过程中的重大技术问题。</w:t>
      </w:r>
    </w:p>
    <w:p w14:paraId="3D59A18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运维工程师</w:t>
      </w:r>
    </w:p>
    <w:p w14:paraId="0DF1A147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负责服务数据管理系统的日常操作与维护。</w:t>
      </w:r>
    </w:p>
    <w:p w14:paraId="14FD0A7C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负责执行数据的定期备份、归档与清理操作。</w:t>
      </w:r>
    </w:p>
    <w:p w14:paraId="5651EF98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协助进行基础的数据统计与报表生成。</w:t>
      </w:r>
    </w:p>
    <w:p w14:paraId="57975FCF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服务数据管理内容与流程</w:t>
      </w:r>
    </w:p>
    <w:p w14:paraId="5A5292A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数据的识别与采集</w:t>
      </w:r>
    </w:p>
    <w:p w14:paraId="416706EC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明确需采集的服务数据范围，主要包括：</w:t>
      </w:r>
    </w:p>
    <w:p w14:paraId="3B43B0EE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服务交付数据：事件/服务请求记录、解决时长、SLA达成率、变更成功率等。</w:t>
      </w:r>
    </w:p>
    <w:p w14:paraId="3A7DAD7F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资源监控数据： 系统性能指标（CPU、内存、磁盘、网络）、应用可用性、日志信息等。</w:t>
      </w:r>
    </w:p>
    <w:p w14:paraId="380510B9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客户反馈数据： 满意度调查结果、投诉与建议记录。</w:t>
      </w:r>
    </w:p>
    <w:p w14:paraId="2F3D1708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管理运营数据： 人员工时、知识库使用率、工具利用率、成本数据等。</w:t>
      </w:r>
    </w:p>
    <w:p w14:paraId="73AE7A3F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建立自动化采集机制，确保数据采集的及时性、准确性和完整性。人工录入数据需建立复核机制。</w:t>
      </w:r>
    </w:p>
    <w:p w14:paraId="6FE51D9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数据的存储与安全</w:t>
      </w:r>
    </w:p>
    <w:p w14:paraId="0329A881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服务数据应存储在安全、稳定、可控的专用存储系统或数据库中。</w:t>
      </w:r>
    </w:p>
    <w:p w14:paraId="1303571A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根据数据敏感级别，实施分级分类的访问控制策略，确保数据保密性。核心数据操作日志应完整记录并审计。</w:t>
      </w:r>
    </w:p>
    <w:p w14:paraId="2149952F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建立服务数据备份与恢复机制，定期验证备份有效性，防止数据丢失。</w:t>
      </w:r>
    </w:p>
    <w:p w14:paraId="65EAF5B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数据的处理与分析</w:t>
      </w:r>
    </w:p>
    <w:p w14:paraId="3AEF96AA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定期对采集的原始数据进行清洗、转换和整合，确保数据一致性。</w:t>
      </w:r>
    </w:p>
    <w:p w14:paraId="4917CD60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运用统计分析、趋势分析等方法，对服务数据进行多维度分析，形成：</w:t>
      </w:r>
    </w:p>
    <w:p w14:paraId="6272872E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运营性报告：反映实时或近期服务状态（如日报、周报）。</w:t>
      </w:r>
    </w:p>
    <w:p w14:paraId="0F28426B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战术性分析：识别流程瓶颈、资源瓶颈或重复发生的问题。</w:t>
      </w:r>
    </w:p>
    <w:p w14:paraId="248FF81D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战略性洞察：评估服务长期趋势，预测未来需求与风险。</w:t>
      </w:r>
    </w:p>
    <w:p w14:paraId="18B7468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数据的应用与改进</w:t>
      </w:r>
    </w:p>
    <w:p w14:paraId="4DF2E899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服务数据分析结果应应用于：</w:t>
      </w:r>
    </w:p>
    <w:p w14:paraId="64DCA2D3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服务报告：定期向客户及管理层提交SLA达成情况与服务绩效报告。</w:t>
      </w:r>
    </w:p>
    <w:p w14:paraId="1878B250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管理决策：为资源规划、预算制定、流程优化提供数据支持。</w:t>
      </w:r>
    </w:p>
    <w:p w14:paraId="710BBC23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持续改进：作为服务改进计划（如《服务改进措施表》）输入的根本依据。</w:t>
      </w:r>
    </w:p>
    <w:p w14:paraId="777B491B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知识积累：将分析获得的经验、模式转化为知识库条目。</w:t>
      </w:r>
    </w:p>
    <w:p w14:paraId="7DBD2124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质量管理部应组织对数据分析结论及改进措施有效性的评审。</w:t>
      </w:r>
    </w:p>
    <w:p w14:paraId="0837C43C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数据的归档与销毁</w:t>
      </w:r>
    </w:p>
    <w:p w14:paraId="7FB42C86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定义不同类型服务数据的保留期限，符合法律法规及合同要求。</w:t>
      </w:r>
    </w:p>
    <w:p w14:paraId="607C5F32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到期数据应按规定流程安全归档或彻底销毁，并保留操作记录。</w:t>
      </w:r>
    </w:p>
    <w:p w14:paraId="04AF39B8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考核指标</w:t>
      </w:r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 w14:paraId="18165A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91B83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3C958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35458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84CA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08522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6304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bookmarkStart w:id="2" w:name="_GoBack" w:colFirst="0" w:colLast="3"/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服务数据分析利用次数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6247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≥次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D67F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数量，服务数据分析使用报告数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8B28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  <w:bookmarkEnd w:id="2"/>
    </w:tbl>
    <w:p w14:paraId="134BB17C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附则</w:t>
      </w:r>
    </w:p>
    <w:p w14:paraId="71CF0B82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本制度自发布之日起执行，由数智运营部负责解释与修订。本制度与《服务台管理制度》、《服务知识管理制度》、《运维服务工具管理制度》等配套使用。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6F798C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FBC201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E1D44D"/>
    <w:multiLevelType w:val="singleLevel"/>
    <w:tmpl w:val="92E1D44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DC5FD62"/>
    <w:multiLevelType w:val="singleLevel"/>
    <w:tmpl w:val="ADC5FD6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9E445F3"/>
    <w:multiLevelType w:val="singleLevel"/>
    <w:tmpl w:val="39E445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411CA3"/>
    <w:rsid w:val="210D1C40"/>
    <w:rsid w:val="21921F06"/>
    <w:rsid w:val="460C19D8"/>
    <w:rsid w:val="48EF7D1B"/>
    <w:rsid w:val="491C0184"/>
    <w:rsid w:val="4A677761"/>
    <w:rsid w:val="51DC77B1"/>
    <w:rsid w:val="54A02690"/>
    <w:rsid w:val="573158BF"/>
    <w:rsid w:val="61C40F61"/>
    <w:rsid w:val="69343E08"/>
    <w:rsid w:val="7ACA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1756</Words>
  <Characters>1891</Characters>
  <Lines>0</Lines>
  <Paragraphs>0</Paragraphs>
  <TotalTime>0</TotalTime>
  <ScaleCrop>false</ScaleCrop>
  <LinksUpToDate>false</LinksUpToDate>
  <CharactersWithSpaces>1997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2026-01-20T13:33:50Z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