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DC9C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24" w:name="_GoBack"/>
      <w:bookmarkStart w:id="0" w:name="_Toc314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E909CD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515"/>
      <w:r>
        <w:rPr>
          <w:rFonts w:hint="eastAsia"/>
          <w:lang w:val="en-US" w:eastAsia="zh-CN"/>
        </w:rPr>
        <w:t>运维交付管理制度</w:t>
      </w:r>
      <w:bookmarkEnd w:id="1"/>
    </w:p>
    <w:p w14:paraId="16F336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B5D4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9848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9A37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8985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DC3BA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B4A2C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577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BB81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0D3B9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89FCE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3B487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1A1B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C967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1E79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5C350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6242E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882F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7849F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7D5B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B88D8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0D7C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AD8FD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5533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787C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7A42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8C09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031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4CAB7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0B25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1830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9592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438C5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76B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0DD79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CB5E9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46FE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4FD3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DDC6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6709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7DCC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D152C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27F4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61AD4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0B5A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AE7B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389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98F5B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D9169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AF1DA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_Toc3145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2671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运维交付管理制度</w:t>
          </w:r>
          <w:r>
            <w:tab/>
          </w:r>
          <w:r>
            <w:fldChar w:fldCharType="begin"/>
          </w:r>
          <w:r>
            <w:instrText xml:space="preserve"> PAGEREF _Toc22515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EA7B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_Toc31345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A340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_Toc17913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8B8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_Toc16394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B2EC1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服务交付</w:t>
          </w:r>
          <w:r>
            <w:tab/>
          </w:r>
          <w:r>
            <w:fldChar w:fldCharType="begin"/>
          </w:r>
          <w:r>
            <w:instrText xml:space="preserve"> PAGEREF _Toc6856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C71F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交付物</w:t>
          </w:r>
          <w:r>
            <w:tab/>
          </w:r>
          <w:r>
            <w:fldChar w:fldCharType="begin"/>
          </w:r>
          <w:r>
            <w:instrText xml:space="preserve"> PAGEREF _Toc21233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ACDD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交付经理</w:t>
          </w:r>
          <w:r>
            <w:tab/>
          </w:r>
          <w:r>
            <w:fldChar w:fldCharType="begin"/>
          </w:r>
          <w:r>
            <w:instrText xml:space="preserve"> PAGEREF _Toc10171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CF00E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管理原则</w:t>
          </w:r>
          <w:r>
            <w:tab/>
          </w:r>
          <w:r>
            <w:fldChar w:fldCharType="begin"/>
          </w:r>
          <w:r>
            <w:instrText xml:space="preserve"> PAGEREF _Toc28216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00F5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_Toc22052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6BED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数智运营部</w:t>
          </w:r>
          <w:r>
            <w:tab/>
          </w:r>
          <w:r>
            <w:fldChar w:fldCharType="begin"/>
          </w:r>
          <w:r>
            <w:instrText xml:space="preserve"> PAGEREF _Toc3688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3ADC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质量管理部</w:t>
          </w:r>
          <w:r>
            <w:tab/>
          </w:r>
          <w:r>
            <w:fldChar w:fldCharType="begin"/>
          </w:r>
          <w:r>
            <w:instrText xml:space="preserve"> PAGEREF _Toc28404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AFE4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研究总院</w:t>
          </w:r>
          <w:r>
            <w:tab/>
          </w:r>
          <w:r>
            <w:fldChar w:fldCharType="begin"/>
          </w:r>
          <w:r>
            <w:instrText xml:space="preserve"> PAGEREF _Toc25844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AD05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服务知识专员</w:t>
          </w:r>
          <w:r>
            <w:tab/>
          </w:r>
          <w:r>
            <w:fldChar w:fldCharType="begin"/>
          </w:r>
          <w:r>
            <w:instrText xml:space="preserve"> PAGEREF _Toc24824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B45F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交付内容与方式</w:t>
          </w:r>
          <w:r>
            <w:tab/>
          </w:r>
          <w:r>
            <w:fldChar w:fldCharType="begin"/>
          </w:r>
          <w:r>
            <w:instrText xml:space="preserve"> PAGEREF _Toc9237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764D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交付内容</w:t>
          </w:r>
          <w:r>
            <w:tab/>
          </w:r>
          <w:r>
            <w:fldChar w:fldCharType="begin"/>
          </w:r>
          <w:r>
            <w:instrText xml:space="preserve"> PAGEREF _Toc435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37FA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交付方式</w:t>
          </w:r>
          <w:r>
            <w:tab/>
          </w:r>
          <w:r>
            <w:fldChar w:fldCharType="begin"/>
          </w:r>
          <w:r>
            <w:instrText xml:space="preserve"> PAGEREF _Toc20132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553C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服务交付过程管理</w:t>
          </w:r>
          <w:r>
            <w:tab/>
          </w:r>
          <w:r>
            <w:fldChar w:fldCharType="begin"/>
          </w:r>
          <w:r>
            <w:instrText xml:space="preserve"> PAGEREF _Toc26208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48C7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交付策划</w:t>
          </w:r>
          <w:r>
            <w:tab/>
          </w:r>
          <w:r>
            <w:fldChar w:fldCharType="begin"/>
          </w:r>
          <w:r>
            <w:instrText xml:space="preserve"> PAGEREF _Toc21426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62C30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交付实施</w:t>
          </w:r>
          <w:r>
            <w:tab/>
          </w:r>
          <w:r>
            <w:fldChar w:fldCharType="begin"/>
          </w:r>
          <w:r>
            <w:instrText xml:space="preserve"> PAGEREF _Toc7581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20C85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交付检查</w:t>
          </w:r>
          <w:r>
            <w:tab/>
          </w:r>
          <w:r>
            <w:fldChar w:fldCharType="begin"/>
          </w:r>
          <w:r>
            <w:instrText xml:space="preserve"> PAGEREF _Toc15337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A0AB3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交付回顾与改进</w:t>
          </w:r>
          <w:r>
            <w:tab/>
          </w:r>
          <w:r>
            <w:fldChar w:fldCharType="begin"/>
          </w:r>
          <w:r>
            <w:instrText xml:space="preserve"> PAGEREF _Toc6091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7FA0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交付物管理</w:t>
          </w:r>
          <w:r>
            <w:tab/>
          </w:r>
          <w:r>
            <w:fldChar w:fldCharType="begin"/>
          </w:r>
          <w:r>
            <w:instrText xml:space="preserve"> PAGEREF _Toc7939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14AF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_Toc15154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839A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3590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137693F">
      <w:pPr>
        <w:pStyle w:val="28"/>
        <w:bidi w:val="0"/>
        <w:rPr>
          <w:rFonts w:hint="default"/>
          <w:lang w:val="en-US" w:eastAsia="zh-CN"/>
        </w:rPr>
      </w:pPr>
      <w:bookmarkStart w:id="2" w:name="_Toc31345"/>
      <w:r>
        <w:rPr>
          <w:rFonts w:hint="default"/>
          <w:lang w:val="en-US" w:eastAsia="zh-CN"/>
        </w:rPr>
        <w:t>目的</w:t>
      </w:r>
      <w:bookmarkEnd w:id="2"/>
    </w:p>
    <w:p w14:paraId="0A20637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为规范公司软件运维服务的交付管理，明确交付内容、方式与质量标准，确保服务按既定协议有效交付，提升客户满意度与交付效率，并为ITSS符合性评估提供依据，特制定本制度。</w:t>
      </w:r>
    </w:p>
    <w:p w14:paraId="08B12008">
      <w:pPr>
        <w:pStyle w:val="28"/>
        <w:bidi w:val="0"/>
        <w:rPr>
          <w:rFonts w:hint="default"/>
          <w:lang w:val="en-US" w:eastAsia="zh-CN"/>
        </w:rPr>
      </w:pPr>
      <w:bookmarkStart w:id="3" w:name="_Toc17913"/>
      <w:r>
        <w:rPr>
          <w:rFonts w:hint="default"/>
          <w:lang w:val="en-US" w:eastAsia="zh-CN"/>
        </w:rPr>
        <w:t>适用范围</w:t>
      </w:r>
      <w:bookmarkEnd w:id="3"/>
    </w:p>
    <w:p w14:paraId="43301AF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本制度适用于公司向客户提供的所有软件运维服务（含基础软件、应用软件）的交付活动全过程管理。</w:t>
      </w:r>
    </w:p>
    <w:p w14:paraId="67C531FA">
      <w:pPr>
        <w:pStyle w:val="28"/>
        <w:bidi w:val="0"/>
        <w:rPr>
          <w:rFonts w:hint="default"/>
          <w:lang w:val="en-US" w:eastAsia="zh-CN"/>
        </w:rPr>
      </w:pPr>
      <w:bookmarkStart w:id="4" w:name="_Toc16394"/>
      <w:r>
        <w:rPr>
          <w:rFonts w:hint="default"/>
          <w:lang w:val="en-US" w:eastAsia="zh-CN"/>
        </w:rPr>
        <w:t>定义与术语</w:t>
      </w:r>
      <w:bookmarkEnd w:id="4"/>
    </w:p>
    <w:p w14:paraId="24744FC1">
      <w:pPr>
        <w:pStyle w:val="30"/>
        <w:bidi w:val="0"/>
        <w:rPr>
          <w:rFonts w:hint="default"/>
          <w:lang w:val="en-US" w:eastAsia="zh-CN"/>
        </w:rPr>
      </w:pPr>
      <w:bookmarkStart w:id="5" w:name="_Toc6856"/>
      <w:r>
        <w:rPr>
          <w:rFonts w:hint="default"/>
          <w:lang w:val="en-US" w:eastAsia="zh-CN"/>
        </w:rPr>
        <w:t>服务交付</w:t>
      </w:r>
      <w:bookmarkEnd w:id="5"/>
    </w:p>
    <w:p w14:paraId="4627D01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指依据《服务级别协议》（SLA），通过一系列组织协调、资源调配和技术活动，向客户提供约定服务并输出成果的完整过程。</w:t>
      </w:r>
    </w:p>
    <w:p w14:paraId="78CA5760">
      <w:pPr>
        <w:pStyle w:val="30"/>
        <w:bidi w:val="0"/>
        <w:rPr>
          <w:rFonts w:hint="default"/>
          <w:lang w:val="en-US" w:eastAsia="zh-CN"/>
        </w:rPr>
      </w:pPr>
      <w:bookmarkStart w:id="6" w:name="_Toc21233"/>
      <w:r>
        <w:rPr>
          <w:rFonts w:hint="default"/>
          <w:lang w:val="en-US" w:eastAsia="zh-CN"/>
        </w:rPr>
        <w:t>交付物</w:t>
      </w:r>
      <w:bookmarkEnd w:id="6"/>
    </w:p>
    <w:p w14:paraId="06CF2C3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服务交付过程中产生、需提交给客户或用于内部管理的有形或无形成果。</w:t>
      </w:r>
    </w:p>
    <w:p w14:paraId="35221106">
      <w:pPr>
        <w:pStyle w:val="30"/>
        <w:bidi w:val="0"/>
        <w:rPr>
          <w:rFonts w:hint="default"/>
          <w:lang w:val="en-US" w:eastAsia="zh-CN"/>
        </w:rPr>
      </w:pPr>
      <w:bookmarkStart w:id="7" w:name="_Toc10171"/>
      <w:r>
        <w:rPr>
          <w:rFonts w:hint="default"/>
          <w:lang w:val="en-US" w:eastAsia="zh-CN"/>
        </w:rPr>
        <w:t>交付经理</w:t>
      </w:r>
      <w:bookmarkEnd w:id="7"/>
    </w:p>
    <w:p w14:paraId="6296F36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项目层面由运维项目经理担任，负责具体项目的交付管理；部门层面由数智运营部经理负责监督与改进。</w:t>
      </w:r>
    </w:p>
    <w:p w14:paraId="2A152774">
      <w:pPr>
        <w:pStyle w:val="28"/>
        <w:bidi w:val="0"/>
        <w:rPr>
          <w:rFonts w:hint="default"/>
          <w:lang w:val="en-US" w:eastAsia="zh-CN"/>
        </w:rPr>
      </w:pPr>
      <w:bookmarkStart w:id="8" w:name="_Toc28216"/>
      <w:r>
        <w:rPr>
          <w:rFonts w:hint="default"/>
          <w:lang w:val="en-US" w:eastAsia="zh-CN"/>
        </w:rPr>
        <w:t>管理原则</w:t>
      </w:r>
      <w:bookmarkEnd w:id="8"/>
    </w:p>
    <w:p w14:paraId="2C2EF9D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客户价值导向： 以保障客户业务连续性和满足SLA为核心目标。</w:t>
      </w:r>
    </w:p>
    <w:p w14:paraId="07B51D5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过程标准可控： 遵循标准化的交付流程，确保过程可追溯、质量可控制。</w:t>
      </w:r>
    </w:p>
    <w:p w14:paraId="2059553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数据驱动决策： 基于服务数据监控和分析，支撑交付过程的优化与决策。</w:t>
      </w:r>
    </w:p>
    <w:p w14:paraId="4F6F2973">
      <w:pPr>
        <w:pStyle w:val="28"/>
        <w:bidi w:val="0"/>
        <w:rPr>
          <w:rFonts w:hint="default"/>
          <w:lang w:val="en-US" w:eastAsia="zh-CN"/>
        </w:rPr>
      </w:pPr>
      <w:bookmarkStart w:id="9" w:name="_Toc22052"/>
      <w:r>
        <w:rPr>
          <w:rFonts w:hint="default"/>
          <w:lang w:val="en-US" w:eastAsia="zh-CN"/>
        </w:rPr>
        <w:t>组织与职责</w:t>
      </w:r>
      <w:bookmarkEnd w:id="9"/>
    </w:p>
    <w:p w14:paraId="56A18830">
      <w:pPr>
        <w:pStyle w:val="30"/>
        <w:bidi w:val="0"/>
        <w:rPr>
          <w:rFonts w:hint="default"/>
          <w:lang w:val="en-US" w:eastAsia="zh-CN"/>
        </w:rPr>
      </w:pPr>
      <w:bookmarkStart w:id="10" w:name="_Toc3688"/>
      <w:r>
        <w:rPr>
          <w:rFonts w:hint="default"/>
          <w:lang w:val="en-US" w:eastAsia="zh-CN"/>
        </w:rPr>
        <w:t>数智运营部</w:t>
      </w:r>
      <w:bookmarkEnd w:id="10"/>
    </w:p>
    <w:p w14:paraId="2324438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部门经理：负责公司服务交付管理体系的建立、维护与监督；审批重大交付方案；组织对交付绩效的评审与改进。</w:t>
      </w:r>
    </w:p>
    <w:p w14:paraId="7D967E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运维项目经理：作为具体项目的交付负责人，负责项目交付策划、资源协调、过程监控、客户沟通及交付成果的最终确认。</w:t>
      </w:r>
    </w:p>
    <w:p w14:paraId="4632DAD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服务台专员：作为统一接口，负责接收、记录、初步处理及闭环跟踪用户的服务请求与事件，是事件类服务交付的发起与跟踪者。</w:t>
      </w:r>
    </w:p>
    <w:p w14:paraId="7F6A66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运维工程师：负责具体技术服务的执行，是核心交付物的直接生产者。</w:t>
      </w:r>
    </w:p>
    <w:p w14:paraId="404E473E">
      <w:pPr>
        <w:pStyle w:val="30"/>
        <w:bidi w:val="0"/>
        <w:rPr>
          <w:rFonts w:hint="default"/>
          <w:lang w:val="en-US" w:eastAsia="zh-CN"/>
        </w:rPr>
      </w:pPr>
      <w:bookmarkStart w:id="11" w:name="_Toc28404"/>
      <w:r>
        <w:rPr>
          <w:rFonts w:hint="default"/>
          <w:lang w:val="en-US" w:eastAsia="zh-CN"/>
        </w:rPr>
        <w:t>质量管理部</w:t>
      </w:r>
      <w:bookmarkEnd w:id="11"/>
    </w:p>
    <w:p w14:paraId="653146D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负责监督服务交付过程的合规性。</w:t>
      </w:r>
    </w:p>
    <w:p w14:paraId="0862939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负责组织或参与重大交付物的质量评审与客户验收。</w:t>
      </w:r>
    </w:p>
    <w:p w14:paraId="7AD21FE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负责组织客户满意度调查，收集交付质量反馈。</w:t>
      </w:r>
    </w:p>
    <w:p w14:paraId="0B4618D0">
      <w:pPr>
        <w:pStyle w:val="30"/>
        <w:bidi w:val="0"/>
        <w:rPr>
          <w:rFonts w:hint="default"/>
          <w:lang w:val="en-US" w:eastAsia="zh-CN"/>
        </w:rPr>
      </w:pPr>
      <w:bookmarkStart w:id="12" w:name="_Toc25844"/>
      <w:r>
        <w:rPr>
          <w:rFonts w:hint="default"/>
          <w:lang w:val="en-US" w:eastAsia="zh-CN"/>
        </w:rPr>
        <w:t>研究总院</w:t>
      </w:r>
      <w:bookmarkEnd w:id="12"/>
    </w:p>
    <w:p w14:paraId="4100E2D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负责为软件补丁、升级版本等交付活动提供符合发布标准的技术组件（参见《最终软件库管理制度》）。</w:t>
      </w:r>
    </w:p>
    <w:p w14:paraId="2ED5E9D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在需要时，为复杂变更或故障排查提供专业技术支持。</w:t>
      </w:r>
    </w:p>
    <w:p w14:paraId="7A94E225">
      <w:pPr>
        <w:pStyle w:val="30"/>
        <w:bidi w:val="0"/>
        <w:rPr>
          <w:rFonts w:hint="default"/>
          <w:lang w:val="en-US" w:eastAsia="zh-CN"/>
        </w:rPr>
      </w:pPr>
      <w:bookmarkStart w:id="13" w:name="_Toc24824"/>
      <w:r>
        <w:rPr>
          <w:rFonts w:hint="default"/>
          <w:lang w:val="en-US" w:eastAsia="zh-CN"/>
        </w:rPr>
        <w:t>服务知识专员</w:t>
      </w:r>
      <w:bookmarkEnd w:id="13"/>
    </w:p>
    <w:p w14:paraId="76FB338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负责在交付过程中，推动将解决方案、经验教训转化为知识条目（参见《服务知识管理制度》）。</w:t>
      </w:r>
    </w:p>
    <w:p w14:paraId="14958F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协助交付团队从知识库中获取历史解决方案，提升交付效率。</w:t>
      </w:r>
    </w:p>
    <w:p w14:paraId="7444DC72">
      <w:pPr>
        <w:pStyle w:val="28"/>
        <w:bidi w:val="0"/>
        <w:rPr>
          <w:rFonts w:hint="default"/>
          <w:lang w:val="en-US" w:eastAsia="zh-CN"/>
        </w:rPr>
      </w:pPr>
      <w:bookmarkStart w:id="14" w:name="_Toc9237"/>
      <w:r>
        <w:rPr>
          <w:rFonts w:hint="default"/>
          <w:lang w:val="en-US" w:eastAsia="zh-CN"/>
        </w:rPr>
        <w:t>交付内容与方式</w:t>
      </w:r>
      <w:bookmarkEnd w:id="14"/>
    </w:p>
    <w:p w14:paraId="36DD9384">
      <w:pPr>
        <w:pStyle w:val="30"/>
        <w:bidi w:val="0"/>
        <w:rPr>
          <w:rFonts w:hint="default"/>
          <w:lang w:val="en-US" w:eastAsia="zh-CN"/>
        </w:rPr>
      </w:pPr>
      <w:bookmarkStart w:id="15" w:name="_Toc435"/>
      <w:r>
        <w:rPr>
          <w:rFonts w:hint="default"/>
          <w:lang w:val="en-US" w:eastAsia="zh-CN"/>
        </w:rPr>
        <w:t>交付内容</w:t>
      </w:r>
      <w:bookmarkEnd w:id="15"/>
    </w:p>
    <w:p w14:paraId="4E47FC4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本公司作为纯软件运维服务商，核心交付内容包括但不限于：</w:t>
      </w:r>
    </w:p>
    <w:p w14:paraId="03CC7B8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事件解决服务：针对软件系统出现的故障、错误或性能下降等问题，提供诊断、定位、修复及验证，恢复系统正常功能。</w:t>
      </w:r>
    </w:p>
    <w:p w14:paraId="7F1355E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服务请求响应：响应用户关于软件使用、配置、咨询、数据提取等标准化请求，并提供解决方案或结果。</w:t>
      </w:r>
    </w:p>
    <w:p w14:paraId="61CE791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变更与发布服务：执行经批准的软件版本发布、补丁安装、配置变更等活动，确保变更过程受控、风险最小化。</w:t>
      </w:r>
    </w:p>
    <w:p w14:paraId="53E9AFD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例行运维服务：包括系统健康检查、性能监控、日志分析、备份验证等预防性维护活动。</w:t>
      </w:r>
    </w:p>
    <w:p w14:paraId="01E7BD2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服务报告：定期（如月度、季度）提供的《服务级别达成报告》、《运维分析报告》等，反映服务绩效与运行状态。</w:t>
      </w:r>
    </w:p>
    <w:p w14:paraId="1DFE163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知识传递：在服务过程中向客户提供的操作指导、最佳实践分享以及沉淀至知识库的解决方案。</w:t>
      </w:r>
    </w:p>
    <w:p w14:paraId="2CB9D990">
      <w:pPr>
        <w:pStyle w:val="30"/>
        <w:bidi w:val="0"/>
        <w:rPr>
          <w:rFonts w:hint="default"/>
          <w:lang w:val="en-US" w:eastAsia="zh-CN"/>
        </w:rPr>
      </w:pPr>
      <w:bookmarkStart w:id="16" w:name="_Toc20132"/>
      <w:r>
        <w:rPr>
          <w:rFonts w:hint="default"/>
          <w:lang w:val="en-US" w:eastAsia="zh-CN"/>
        </w:rPr>
        <w:t>交付方式</w:t>
      </w:r>
      <w:bookmarkEnd w:id="16"/>
    </w:p>
    <w:p w14:paraId="62EE4A2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根据服务场景和客户需求，主要采用以下交付方式：</w:t>
      </w:r>
    </w:p>
    <w:p w14:paraId="17FED59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远程交付：为主要交付方式。工程师通过安全的网络连接，利用运维工具（参见《运维服务工具管理制度》）对客户软件系统进行远程监控、诊断、修复和操作。适用于绝大多数事件处理、服务请求和例行维护。</w:t>
      </w:r>
    </w:p>
    <w:p w14:paraId="35A90B6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现场交付：在远程无法解决或客户合同明确要求的情况下，指派工程师至客户现场提供服务。适用于重大故障紧急处理、复杂变更实施或特定现场培训等场景。</w:t>
      </w:r>
    </w:p>
    <w:p w14:paraId="192389A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自动化交付：通过自动化监控平台和脚本工具，对常规、重复性的巡检、备份、告警响应等任务进行无人值守自动执行与结果报告。</w:t>
      </w:r>
    </w:p>
    <w:p w14:paraId="5ADB417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报告与会议交付：通过电子邮件、客户门户或在线会议等形式，定期或按需交付服务报告，并进行服务回顾沟通。</w:t>
      </w:r>
    </w:p>
    <w:p w14:paraId="033899CC">
      <w:pPr>
        <w:pStyle w:val="28"/>
        <w:bidi w:val="0"/>
        <w:rPr>
          <w:rFonts w:hint="default"/>
          <w:lang w:val="en-US" w:eastAsia="zh-CN"/>
        </w:rPr>
      </w:pPr>
      <w:bookmarkStart w:id="17" w:name="_Toc26208"/>
      <w:r>
        <w:rPr>
          <w:rFonts w:hint="default"/>
          <w:lang w:val="en-US" w:eastAsia="zh-CN"/>
        </w:rPr>
        <w:t>服务交付过程管理</w:t>
      </w:r>
      <w:bookmarkEnd w:id="17"/>
    </w:p>
    <w:p w14:paraId="06C787CF">
      <w:pPr>
        <w:pStyle w:val="30"/>
        <w:bidi w:val="0"/>
        <w:rPr>
          <w:rFonts w:hint="default"/>
          <w:lang w:val="en-US" w:eastAsia="zh-CN"/>
        </w:rPr>
      </w:pPr>
      <w:bookmarkStart w:id="18" w:name="_Toc21426"/>
      <w:r>
        <w:rPr>
          <w:rFonts w:hint="default"/>
          <w:lang w:val="en-US" w:eastAsia="zh-CN"/>
        </w:rPr>
        <w:t>交付策划</w:t>
      </w:r>
      <w:bookmarkEnd w:id="18"/>
    </w:p>
    <w:p w14:paraId="1F513A3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输入：SLA、项目合同、客户特定要求。</w:t>
      </w:r>
    </w:p>
    <w:p w14:paraId="7542086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活动：运维项目经理制定《服务交付计划》，明确交付范围、资源计划、沟通机制、风险预案及关键里程碑。</w:t>
      </w:r>
    </w:p>
    <w:p w14:paraId="6107792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输出：经批准的《服务交付计划》。</w:t>
      </w:r>
    </w:p>
    <w:p w14:paraId="7B7BB17B">
      <w:pPr>
        <w:pStyle w:val="30"/>
        <w:bidi w:val="0"/>
        <w:rPr>
          <w:rFonts w:hint="default"/>
          <w:lang w:val="en-US" w:eastAsia="zh-CN"/>
        </w:rPr>
      </w:pPr>
      <w:bookmarkStart w:id="19" w:name="_Toc7581"/>
      <w:r>
        <w:rPr>
          <w:rFonts w:hint="default"/>
          <w:lang w:val="en-US" w:eastAsia="zh-CN"/>
        </w:rPr>
        <w:t>交付实施</w:t>
      </w:r>
      <w:bookmarkEnd w:id="19"/>
    </w:p>
    <w:p w14:paraId="0E2854B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流程触发：服务请求/事件通过服务台统一接入（依据《服务台管理制度》）。</w:t>
      </w:r>
    </w:p>
    <w:p w14:paraId="2F1C887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资源调用：工程师使用授权运维工具、查询知识库、申请最终软件库版本（依据相关制度）。</w:t>
      </w:r>
    </w:p>
    <w:p w14:paraId="03BE522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执行与记录：严格按照流程解决事件、实施变更或执行维护，并在工单系统中实时、完整记录过程与结果。</w:t>
      </w:r>
    </w:p>
    <w:p w14:paraId="4883DBA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客户确认：服务台进行回访，获取客户对处理结果的确认。</w:t>
      </w:r>
    </w:p>
    <w:p w14:paraId="3952AE5D">
      <w:pPr>
        <w:pStyle w:val="30"/>
        <w:bidi w:val="0"/>
        <w:rPr>
          <w:rFonts w:hint="default"/>
          <w:lang w:val="en-US" w:eastAsia="zh-CN"/>
        </w:rPr>
      </w:pPr>
      <w:bookmarkStart w:id="20" w:name="_Toc15337"/>
      <w:r>
        <w:rPr>
          <w:rFonts w:hint="default"/>
          <w:lang w:val="en-US" w:eastAsia="zh-CN"/>
        </w:rPr>
        <w:t>交付检查</w:t>
      </w:r>
      <w:bookmarkEnd w:id="20"/>
    </w:p>
    <w:p w14:paraId="46A698C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为确保交付质量与合规性，建立三级检查机制：</w:t>
      </w:r>
    </w:p>
    <w:p w14:paraId="5858AB9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过程自查：</w:t>
      </w:r>
    </w:p>
    <w:p w14:paraId="745F294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在完成每项交付活动后，对操作记录、解决效果进行自查。</w:t>
      </w:r>
    </w:p>
    <w:p w14:paraId="57BFE57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质量监控：</w:t>
      </w:r>
    </w:p>
    <w:p w14:paraId="125A9991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实时监控：服务台监控工单响应与解决时限。</w:t>
      </w:r>
    </w:p>
    <w:p w14:paraId="678812D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抽样审核：运维项目经理定期抽样检查已关闭工单的处理质量与记录规范性。</w:t>
      </w:r>
    </w:p>
    <w:p w14:paraId="3C46687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独立审计：</w:t>
      </w:r>
    </w:p>
    <w:p w14:paraId="5266B5EB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合规性审计： 定期审计交付过程是否符合本制度及SLA要求。</w:t>
      </w:r>
    </w:p>
    <w:p w14:paraId="78C0FF93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交付物审计： 对提交给客户的服务报告等关键交付物进行内容准确性、格式规范性审查。</w:t>
      </w:r>
    </w:p>
    <w:p w14:paraId="7C36BF99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客户满意度调查： 定期组织，直接获取客户对交付质量的评价。</w:t>
      </w:r>
    </w:p>
    <w:p w14:paraId="442AED60">
      <w:pPr>
        <w:pStyle w:val="30"/>
        <w:bidi w:val="0"/>
        <w:rPr>
          <w:rFonts w:hint="default"/>
          <w:lang w:val="en-US" w:eastAsia="zh-CN"/>
        </w:rPr>
      </w:pPr>
      <w:bookmarkStart w:id="21" w:name="_Toc6091"/>
      <w:r>
        <w:rPr>
          <w:rFonts w:hint="default"/>
          <w:lang w:val="en-US" w:eastAsia="zh-CN"/>
        </w:rPr>
        <w:t>交付回顾与改进</w:t>
      </w:r>
      <w:bookmarkEnd w:id="21"/>
    </w:p>
    <w:p w14:paraId="1BA83F2E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项目级回顾：运维项目经理每月主持召开项目交付例会，分析SLA数据、重大事件，制定改进措施。</w:t>
      </w:r>
    </w:p>
    <w:p w14:paraId="6CF67599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部门级评审：数智运营部经理每季度组织评审会，基于《服务数据管理制度》的分析报告，识别体系性问题，并更新交付流程或资源规划。</w:t>
      </w:r>
    </w:p>
    <w:p w14:paraId="778D3B67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改进闭环：所有改进措施需纳入《服务改进措施表》跟踪，并在后续交付活动中验证其有效性。</w:t>
      </w:r>
    </w:p>
    <w:p w14:paraId="25EAA43F">
      <w:pPr>
        <w:pStyle w:val="28"/>
        <w:bidi w:val="0"/>
        <w:rPr>
          <w:rFonts w:hint="default"/>
          <w:lang w:val="en-US" w:eastAsia="zh-CN"/>
        </w:rPr>
      </w:pPr>
      <w:bookmarkStart w:id="22" w:name="_Toc7939"/>
      <w:r>
        <w:rPr>
          <w:rFonts w:hint="default"/>
          <w:lang w:val="en-US" w:eastAsia="zh-CN"/>
        </w:rPr>
        <w:t>交付物管理</w:t>
      </w:r>
      <w:bookmarkEnd w:id="22"/>
    </w:p>
    <w:p w14:paraId="0727883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交付物（工单记录、服务报告、变更记录、知识条目等）均为公司服务资产，须在公司指定的管理系统中存储、归档，确保其完整性、安全性与可追溯性。归档期限应符合合同、法规及《服务数据管理制度》的要求。</w:t>
      </w:r>
    </w:p>
    <w:p w14:paraId="04AF39B8">
      <w:pPr>
        <w:pStyle w:val="28"/>
        <w:bidi w:val="0"/>
        <w:rPr>
          <w:rFonts w:hint="default"/>
          <w:lang w:val="en-US" w:eastAsia="zh-CN"/>
        </w:rPr>
      </w:pPr>
      <w:bookmarkStart w:id="23" w:name="_Toc15154"/>
      <w:r>
        <w:rPr>
          <w:rFonts w:hint="eastAsia"/>
          <w:lang w:val="en-US" w:eastAsia="zh-CN"/>
        </w:rPr>
        <w:t>考核指标</w:t>
      </w:r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1188"/>
        <w:gridCol w:w="4679"/>
        <w:gridCol w:w="926"/>
      </w:tblGrid>
      <w:tr w14:paraId="18165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91B8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KPI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3C95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目标值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3545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184C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频度</w:t>
            </w:r>
          </w:p>
        </w:tc>
      </w:tr>
      <w:tr w14:paraId="08522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304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项目及时交付率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247D1">
            <w:pPr>
              <w:keepNext w:val="0"/>
              <w:keepLines w:val="0"/>
              <w:widowControl/>
              <w:suppressLineNumbers w:val="0"/>
              <w:tabs>
                <w:tab w:val="center" w:pos="486"/>
                <w:tab w:val="right" w:pos="1092"/>
              </w:tabs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00%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67F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按时交付的项目数/运维项目总数*100%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B28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年度</w:t>
            </w:r>
          </w:p>
        </w:tc>
      </w:tr>
    </w:tbl>
    <w:p w14:paraId="4EBF3AD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  <w:bookmarkEnd w:id="23"/>
    </w:p>
    <w:p w14:paraId="6FE5DDD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本制度自发布之日起执行，由数智运营部负责解释与修订。</w:t>
      </w:r>
    </w:p>
    <w:p w14:paraId="58E5E40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本制度与公司《服务台管理制度》、《运维服务工具管理制度》、《服务知识管理制度》、《最终软件库管理制度》及《服务数据管理制度》共同构成完整的管理体系。</w:t>
      </w:r>
    </w:p>
    <w:bookmarkEnd w:id="24"/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ABE1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D6CAD"/>
    <w:multiLevelType w:val="singleLevel"/>
    <w:tmpl w:val="84AD6C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543E92A"/>
    <w:multiLevelType w:val="singleLevel"/>
    <w:tmpl w:val="8543E9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A13BAF"/>
    <w:multiLevelType w:val="singleLevel"/>
    <w:tmpl w:val="97A13BA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982BA49F"/>
    <w:multiLevelType w:val="singleLevel"/>
    <w:tmpl w:val="982BA4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ACC2960"/>
    <w:multiLevelType w:val="singleLevel"/>
    <w:tmpl w:val="CACC296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543818FF"/>
    <w:multiLevelType w:val="singleLevel"/>
    <w:tmpl w:val="543818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762E91"/>
    <w:rsid w:val="0C5B233E"/>
    <w:rsid w:val="141352AC"/>
    <w:rsid w:val="14EF207A"/>
    <w:rsid w:val="171B2DF6"/>
    <w:rsid w:val="1F2269A5"/>
    <w:rsid w:val="2A41096D"/>
    <w:rsid w:val="2EE7693B"/>
    <w:rsid w:val="2EFE3E42"/>
    <w:rsid w:val="2F106B60"/>
    <w:rsid w:val="2FF63FA8"/>
    <w:rsid w:val="311F5D69"/>
    <w:rsid w:val="35781C6D"/>
    <w:rsid w:val="379523B5"/>
    <w:rsid w:val="3B2714BA"/>
    <w:rsid w:val="40CF7B8F"/>
    <w:rsid w:val="41BF6718"/>
    <w:rsid w:val="425132C0"/>
    <w:rsid w:val="42D257AE"/>
    <w:rsid w:val="458A2D71"/>
    <w:rsid w:val="4F8627FB"/>
    <w:rsid w:val="53446E39"/>
    <w:rsid w:val="56313A23"/>
    <w:rsid w:val="57DF0C57"/>
    <w:rsid w:val="585D7471"/>
    <w:rsid w:val="5BC85F49"/>
    <w:rsid w:val="65C04540"/>
    <w:rsid w:val="71E676C1"/>
    <w:rsid w:val="7ABD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2486</Words>
  <Characters>2601</Characters>
  <Lines>0</Lines>
  <Paragraphs>0</Paragraphs>
  <TotalTime>1</TotalTime>
  <ScaleCrop>false</ScaleCrop>
  <LinksUpToDate>false</LinksUpToDate>
  <CharactersWithSpaces>2701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2026-01-20T13:37:58Z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