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8D2891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4175"/>
      <w:bookmarkStart w:id="16" w:name="_GoBack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16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2EBEB8FE">
      <w:pPr>
        <w:keepNext w:val="0"/>
        <w:keepLines w:val="0"/>
        <w:pageBreakBefore w:val="0"/>
        <w:widowControl w:val="0"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 w:ascii="黑体" w:hAnsi="黑体" w:eastAsia="黑体" w:cs="黑体"/>
          <w:b/>
          <w:bCs/>
          <w:snapToGrid w:val="0"/>
          <w:color w:val="000000"/>
          <w:spacing w:val="-7"/>
          <w:kern w:val="0"/>
          <w:sz w:val="52"/>
          <w:szCs w:val="52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snapToGrid w:val="0"/>
          <w:color w:val="000000"/>
          <w:spacing w:val="-7"/>
          <w:kern w:val="0"/>
          <w:sz w:val="52"/>
          <w:szCs w:val="52"/>
          <w:lang w:val="en-US" w:eastAsia="zh-CN" w:bidi="ar-SA"/>
        </w:rPr>
        <w:t>晋城市产业互联网数字化</w:t>
      </w:r>
    </w:p>
    <w:p w14:paraId="71EB3985">
      <w:pPr>
        <w:keepNext w:val="0"/>
        <w:keepLines w:val="0"/>
        <w:pageBreakBefore w:val="0"/>
        <w:widowControl w:val="0"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 w:ascii="黑体" w:hAnsi="黑体" w:eastAsia="黑体" w:cs="黑体"/>
          <w:b/>
          <w:bCs/>
          <w:snapToGrid w:val="0"/>
          <w:color w:val="000000"/>
          <w:spacing w:val="-7"/>
          <w:kern w:val="0"/>
          <w:sz w:val="52"/>
          <w:szCs w:val="52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snapToGrid w:val="0"/>
          <w:color w:val="000000"/>
          <w:spacing w:val="-7"/>
          <w:kern w:val="0"/>
          <w:sz w:val="52"/>
          <w:szCs w:val="52"/>
          <w:lang w:val="en-US" w:eastAsia="zh-CN" w:bidi="ar-SA"/>
        </w:rPr>
        <w:t>共享服务平台巡检报告</w:t>
      </w:r>
    </w:p>
    <w:p w14:paraId="3EB2F30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9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3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B1270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5C60386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 w14:paraId="4E55BF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2025.09.30</w:t>
            </w:r>
          </w:p>
        </w:tc>
      </w:tr>
      <w:tr w14:paraId="379EB1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40F70B4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0B8A5AD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2025.09.30</w:t>
            </w:r>
          </w:p>
        </w:tc>
      </w:tr>
      <w:tr w14:paraId="5DABF5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10B8CDE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3E6B226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2025.09.30</w:t>
            </w:r>
          </w:p>
        </w:tc>
      </w:tr>
    </w:tbl>
    <w:p w14:paraId="0369640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02F8229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7970D5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44A8844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476680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5C57CBC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5D6784E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92D80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513DC4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9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19" w:type="dxa"/>
          </w:tcPr>
          <w:p w14:paraId="02E5899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6B428E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5651A5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涂志云</w:t>
            </w:r>
          </w:p>
        </w:tc>
      </w:tr>
      <w:tr w14:paraId="221843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221488A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8D0F40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14B2F85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7BD5D17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6895C4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4B95063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044B6B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3FD38D9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79B63B7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603F94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757570F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1C1F83A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086BBEB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1BE3A72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7CD06AF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1031CE0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07755D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_Toc14175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_Toc14175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A071D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巡检</w:t>
          </w:r>
          <w:r>
            <w:rPr>
              <w:rFonts w:hint="default"/>
              <w:lang w:val="en-US" w:eastAsia="zh-CN"/>
            </w:rPr>
            <w:t>概述</w:t>
          </w:r>
          <w:r>
            <w:tab/>
          </w:r>
          <w:r>
            <w:fldChar w:fldCharType="begin"/>
          </w:r>
          <w:r>
            <w:instrText xml:space="preserve"> PAGEREF _Toc492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9C0DF9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_Toc31977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巡检内容与结果</w:t>
          </w:r>
          <w:r>
            <w:tab/>
          </w:r>
          <w:r>
            <w:fldChar w:fldCharType="begin"/>
          </w:r>
          <w:r>
            <w:instrText xml:space="preserve"> PAGEREF _Toc31977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EAEBB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_Toc30516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平台可用性与性能</w:t>
          </w:r>
          <w:r>
            <w:tab/>
          </w:r>
          <w:r>
            <w:fldChar w:fldCharType="begin"/>
          </w:r>
          <w:r>
            <w:instrText xml:space="preserve"> PAGEREF _Toc30516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5D7E11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_Toc5377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基础设施深度巡检</w:t>
          </w:r>
          <w:r>
            <w:tab/>
          </w:r>
          <w:r>
            <w:fldChar w:fldCharType="begin"/>
          </w:r>
          <w:r>
            <w:instrText xml:space="preserve"> PAGEREF _Toc5377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DECBF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_Toc27200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安全合规性巡检</w:t>
          </w:r>
          <w:r>
            <w:tab/>
          </w:r>
          <w:r>
            <w:fldChar w:fldCharType="begin"/>
          </w:r>
          <w:r>
            <w:instrText xml:space="preserve"> PAGEREF _Toc27200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9B8E9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_Toc8317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 </w:t>
          </w:r>
          <w:r>
            <w:rPr>
              <w:rFonts w:hint="eastAsia"/>
              <w:lang w:val="en-US" w:eastAsia="zh-CN"/>
            </w:rPr>
            <w:t>服务交付流程合规性</w:t>
          </w:r>
          <w:r>
            <w:tab/>
          </w:r>
          <w:r>
            <w:fldChar w:fldCharType="begin"/>
          </w:r>
          <w:r>
            <w:instrText xml:space="preserve"> PAGEREF _Toc8317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4190E9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_Toc22028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事件问题处理回顾与分析</w:t>
          </w:r>
          <w:r>
            <w:tab/>
          </w:r>
          <w:r>
            <w:fldChar w:fldCharType="begin"/>
          </w:r>
          <w:r>
            <w:instrText xml:space="preserve"> PAGEREF _Toc22028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9878C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_Toc32253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资源与保障措施运行验证</w:t>
          </w:r>
          <w:r>
            <w:tab/>
          </w:r>
          <w:r>
            <w:fldChar w:fldCharType="begin"/>
          </w:r>
          <w:r>
            <w:instrText xml:space="preserve"> PAGEREF _Toc32253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9D7E0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_Toc30717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人力资源</w:t>
          </w:r>
          <w:r>
            <w:tab/>
          </w:r>
          <w:r>
            <w:fldChar w:fldCharType="begin"/>
          </w:r>
          <w:r>
            <w:instrText xml:space="preserve"> PAGEREF _Toc30717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DAAD02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_Toc4470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工具资源</w:t>
          </w:r>
          <w:r>
            <w:tab/>
          </w:r>
          <w:r>
            <w:fldChar w:fldCharType="begin"/>
          </w:r>
          <w:r>
            <w:instrText xml:space="preserve"> PAGEREF _Toc4470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C1367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_Toc22479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过程资产</w:t>
          </w:r>
          <w:r>
            <w:tab/>
          </w:r>
          <w:r>
            <w:fldChar w:fldCharType="begin"/>
          </w:r>
          <w:r>
            <w:instrText xml:space="preserve"> PAGEREF _Toc22479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BFAC4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_Toc4322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持续改进机制运行与优化跟踪</w:t>
          </w:r>
          <w:r>
            <w:tab/>
          </w:r>
          <w:r>
            <w:fldChar w:fldCharType="begin"/>
          </w:r>
          <w:r>
            <w:instrText xml:space="preserve"> PAGEREF _Toc4322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A770E4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_Toc13315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监控粒度优化项</w:t>
          </w:r>
          <w:r>
            <w:tab/>
          </w:r>
          <w:r>
            <w:fldChar w:fldCharType="begin"/>
          </w:r>
          <w:r>
            <w:instrText xml:space="preserve"> PAGEREF _Toc13315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B08647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_Toc18309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应急沟通效率提升项</w:t>
          </w:r>
          <w:r>
            <w:tab/>
          </w:r>
          <w:r>
            <w:fldChar w:fldCharType="begin"/>
          </w:r>
          <w:r>
            <w:instrText xml:space="preserve"> PAGEREF _Toc18309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9FB758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_Toc7808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综合风险分析与结论</w:t>
          </w:r>
          <w:r>
            <w:tab/>
          </w:r>
          <w:r>
            <w:fldChar w:fldCharType="begin"/>
          </w:r>
          <w:r>
            <w:instrText xml:space="preserve"> PAGEREF _Toc7808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A096C67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3C3F5A1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6B37B9C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" w:name="_Toc492"/>
      <w:r>
        <w:rPr>
          <w:rFonts w:hint="eastAsia"/>
          <w:lang w:val="en-US" w:eastAsia="zh-CN"/>
        </w:rPr>
        <w:t>巡检</w:t>
      </w:r>
      <w:r>
        <w:rPr>
          <w:rFonts w:hint="default"/>
          <w:lang w:val="en-US" w:eastAsia="zh-CN"/>
        </w:rPr>
        <w:t>概述</w:t>
      </w:r>
      <w:bookmarkEnd w:id="1"/>
    </w:p>
    <w:p w14:paraId="48AAB44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周期内的日常运维巡检工作，是我司履行《运维项目合同书》中既定服务承诺、落地《项目实施方案》标准化流程中持续改进计划的关键执行环节。本次巡检不仅局限于对平台运行状态的被动检查，更是一场主动的、系统性的健康诊断与质量审计。我们通过“自动监控+人工核查”相结合的模式，对平台的核心应用、基础设施、安全态势及服务管理流程进行了全面审视，旨在确保服务交付质量始终处于受控状态，并为后续的服务优化提供数据驱动的决策依据。</w:t>
      </w:r>
    </w:p>
    <w:p w14:paraId="01DEE21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" w:name="_Toc31977"/>
      <w:r>
        <w:rPr>
          <w:rFonts w:hint="eastAsia"/>
          <w:lang w:val="en-US" w:eastAsia="zh-CN"/>
        </w:rPr>
        <w:t>巡检内容与结果</w:t>
      </w:r>
      <w:bookmarkEnd w:id="2"/>
    </w:p>
    <w:p w14:paraId="171E3BF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30516"/>
      <w:r>
        <w:rPr>
          <w:rFonts w:hint="eastAsia"/>
          <w:lang w:val="en-US" w:eastAsia="zh-CN"/>
        </w:rPr>
        <w:t>平台可用性与性能</w:t>
      </w:r>
      <w:bookmarkEnd w:id="3"/>
    </w:p>
    <w:p w14:paraId="07D8226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监控工具对平台进行7x24小时不间断监控。监控数据显示，包括统一会员中心、平台商城及供应链模块在内的所有核心业务服务，其可用性指标均稳定维持在100%，完全满足并优于合同SLA要求。在性能方面，通过对应用服务线程池、数据库连接池及API响应时间的每日人工巡检与记录，确认各项服务运行平稳，未出现性能衰减或异常阻塞情况，有效保障了终端用户的使用体验。</w:t>
      </w:r>
    </w:p>
    <w:p w14:paraId="02C9B34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5377"/>
      <w:r>
        <w:rPr>
          <w:rFonts w:hint="eastAsia"/>
          <w:lang w:val="en-US" w:eastAsia="zh-CN"/>
        </w:rPr>
        <w:t>基础设施深度巡检</w:t>
      </w:r>
      <w:bookmarkEnd w:id="4"/>
    </w:p>
    <w:p w14:paraId="4BD335B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支撑平台运行的服务器、网络及安全设备进行了周期性深度检查。服务器层面，重点核查了CPU负载、内存使用率及系统磁盘I/O，全月平均CPU使用率低于65%，核心系统磁盘空间使用率低于70%，资源充裕且无瓶颈风险。网络层面，通过对核心交换机与防火墙的日志分析及连通性测试，确认网络架构稳定，未侦测到异常流量或非法访问尝试。安全设备策略生效正常，形成了有效的纵深防御体系。</w:t>
      </w:r>
    </w:p>
    <w:p w14:paraId="032A450D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27200"/>
      <w:r>
        <w:rPr>
          <w:rFonts w:hint="eastAsia"/>
          <w:lang w:val="en-US" w:eastAsia="zh-CN"/>
        </w:rPr>
        <w:t>安全合规性巡检</w:t>
      </w:r>
      <w:bookmarkEnd w:id="5"/>
    </w:p>
    <w:p w14:paraId="630E900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严格遵循合同及《信息安全管理计划》中的安全运维要求，已按计划完成的漏洞扫描与渗透测试工作，其修复措施在本月得到了持续验证，确认所有中危及以上漏洞均已闭环处理。此外，通过每日对操作系统、数据库及应用系统的安全日志进行抽样审计，未发现成功的安全攻击事件，平台整体安全态势可控、可靠。</w:t>
      </w:r>
    </w:p>
    <w:p w14:paraId="6868630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8317"/>
      <w:r>
        <w:rPr>
          <w:rFonts w:hint="eastAsia"/>
          <w:lang w:val="en-US" w:eastAsia="zh-CN"/>
        </w:rPr>
        <w:t>服务交付流程合规性</w:t>
      </w:r>
      <w:bookmarkEnd w:id="6"/>
    </w:p>
    <w:p w14:paraId="4504FBC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IT服务管理流程的执行情况进行了重点核查。服务台作为统一入口，本月有效分派并追踪了25个服务请求，实现了100%的流程闭环管理，体现了流程的有效性和执行力。在事件响应方面，所处理的5起紧急故障，其平均响应与到场时间均大幅优于合同标准，这充分证明了我司现场服务团队高效的执行能力与责任心。同时，配置管理数据库（CMDB）的准确性在本月一次变更后得到了及时更新，确保了配置项与实际情况的一致性。知识库本月新增3篇技术文档，实现了运维经验的持续沉淀与共享。</w:t>
      </w:r>
    </w:p>
    <w:p w14:paraId="0AE157C3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22028"/>
      <w:r>
        <w:rPr>
          <w:rFonts w:hint="eastAsia"/>
          <w:lang w:val="en-US" w:eastAsia="zh-CN"/>
        </w:rPr>
        <w:t>事件问题处理回顾与分析</w:t>
      </w:r>
      <w:bookmarkEnd w:id="7"/>
    </w:p>
    <w:p w14:paraId="42BFAD2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团队共处置了5起P3及以上级别的紧急事件。我们不仅满足于快速恢复服务，更致力于从根本上消除隐患。例如，针对月中发生的一起“中间件连接池溢出”导致的性能抖动事件，我们在按照事件管理流程快速恢复服务后，立即启动了正式的问题管理流程。通过召集相关技术人员进行根源分析，确认是由于近期业务量增长导致的配置参数不再适配。我们不仅调整了参数，还将此案例及解决方案固化到知识库，并更新了相关巡检项的阈值。这一过程完整地展现了我们从“被动响应（事件）”到“主动根治（问题）”的成熟运维管理能力。</w:t>
      </w:r>
    </w:p>
    <w:p w14:paraId="54D4E3E7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32253"/>
      <w:r>
        <w:rPr>
          <w:rFonts w:hint="default"/>
          <w:lang w:val="en-US" w:eastAsia="zh-CN"/>
        </w:rPr>
        <w:t>资源与保障措施运行验证</w:t>
      </w:r>
      <w:bookmarkEnd w:id="8"/>
    </w:p>
    <w:p w14:paraId="7F5014E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为保障服务交付的连续性与稳定性，我们对核心资源进行了验证：</w:t>
      </w:r>
    </w:p>
    <w:p w14:paraId="470D06A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30717"/>
      <w:r>
        <w:rPr>
          <w:rFonts w:hint="default"/>
          <w:lang w:val="en-US" w:eastAsia="zh-CN"/>
        </w:rPr>
        <w:t>人力资源</w:t>
      </w:r>
      <w:bookmarkEnd w:id="9"/>
    </w:p>
    <w:p w14:paraId="134F3CB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本月核心运维团队成员无一人离职，团队稳定性高，完全符合合同中“人员稳定性保障”条款的承诺，确保了服务经验的延续性和团队战斗力。</w:t>
      </w:r>
    </w:p>
    <w:p w14:paraId="1F19C0E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4470"/>
      <w:r>
        <w:rPr>
          <w:rFonts w:hint="default"/>
          <w:lang w:val="en-US" w:eastAsia="zh-CN"/>
        </w:rPr>
        <w:t>工具资源</w:t>
      </w:r>
      <w:bookmarkEnd w:id="10"/>
    </w:p>
    <w:p w14:paraId="06F8D67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运维服务管理系统、监控告警平台等专用工具在整个报告期内运行零故障，为运维服务的标准化、自动化与可视化提供了坚实的技术支撑。</w:t>
      </w:r>
    </w:p>
    <w:p w14:paraId="6012CC4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22479"/>
      <w:r>
        <w:rPr>
          <w:rFonts w:hint="default"/>
          <w:lang w:val="en-US" w:eastAsia="zh-CN"/>
        </w:rPr>
        <w:t>过程资产</w:t>
      </w:r>
      <w:bookmarkEnd w:id="11"/>
    </w:p>
    <w:p w14:paraId="310566D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所有运维活动，包括巡检、事件、变更等，均在生产管理系统中留有详尽、规范的记录。这不仅满足了过程可追溯性的要求，也为服务审计、知识传承和持续改进积累了宝贵的组织过程资产。</w:t>
      </w:r>
    </w:p>
    <w:p w14:paraId="57503471">
      <w:pPr>
        <w:pStyle w:val="28"/>
        <w:bidi w:val="0"/>
        <w:rPr>
          <w:rFonts w:hint="default"/>
          <w:lang w:val="en-US" w:eastAsia="zh-CN"/>
        </w:rPr>
      </w:pPr>
      <w:bookmarkStart w:id="12" w:name="_Toc4322"/>
      <w:r>
        <w:rPr>
          <w:rFonts w:hint="default"/>
          <w:lang w:val="en-US" w:eastAsia="zh-CN"/>
        </w:rPr>
        <w:t>持续改进机制运行与优化跟踪</w:t>
      </w:r>
      <w:bookmarkEnd w:id="12"/>
    </w:p>
    <w:p w14:paraId="52C2A03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ITSS的核心思想之一是持续改进。我们基于上一周期《总结报告》中识别的待改进项，在本月积极推动并取得了实质性进展：</w:t>
      </w:r>
    </w:p>
    <w:p w14:paraId="6F37DEAE">
      <w:pPr>
        <w:pStyle w:val="30"/>
        <w:bidi w:val="0"/>
        <w:rPr>
          <w:rFonts w:hint="default"/>
          <w:lang w:val="en-US" w:eastAsia="zh-CN"/>
        </w:rPr>
      </w:pPr>
      <w:bookmarkStart w:id="13" w:name="_Toc13315"/>
      <w:r>
        <w:rPr>
          <w:rFonts w:hint="default"/>
          <w:lang w:val="en-US" w:eastAsia="zh-CN"/>
        </w:rPr>
        <w:t>监控粒度优化项</w:t>
      </w:r>
      <w:bookmarkEnd w:id="13"/>
    </w:p>
    <w:p w14:paraId="1673D0A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背景：上一周期发现对部分中间件内部队列深度的监控预警存在盲区，不够灵敏。</w:t>
      </w:r>
    </w:p>
    <w:p w14:paraId="038BAFB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本月行动：已成立专项小组，完成了对现有监控指标体系的技术评审，并起草了《监控告警规则优化方案》，计划于10月进行测试环境的规则部署与验证。</w:t>
      </w:r>
    </w:p>
    <w:p w14:paraId="2F3F229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预期价值：此优化将实现对潜在性能瓶颈的更早洞察，变“事后救火”为“事前预防”。</w:t>
      </w:r>
    </w:p>
    <w:p w14:paraId="606427DB">
      <w:pPr>
        <w:pStyle w:val="30"/>
        <w:bidi w:val="0"/>
        <w:rPr>
          <w:rFonts w:hint="default"/>
          <w:lang w:val="en-US" w:eastAsia="zh-CN"/>
        </w:rPr>
      </w:pPr>
      <w:bookmarkStart w:id="14" w:name="_Toc18309"/>
      <w:r>
        <w:rPr>
          <w:rFonts w:hint="default"/>
          <w:lang w:val="en-US" w:eastAsia="zh-CN"/>
        </w:rPr>
        <w:t>应急沟通效率提升项</w:t>
      </w:r>
      <w:bookmarkEnd w:id="14"/>
    </w:p>
    <w:p w14:paraId="084124B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背景：模拟演练暴露出非工作时间应急指令传达链条存在延迟。</w:t>
      </w:r>
    </w:p>
    <w:p w14:paraId="0DE2E34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本月成果：</w:t>
      </w:r>
      <w:r>
        <w:rPr>
          <w:rFonts w:hint="eastAsia"/>
          <w:lang w:val="en-US" w:eastAsia="zh-CN"/>
        </w:rPr>
        <w:t>修订应急通讯预案</w:t>
      </w:r>
      <w:r>
        <w:rPr>
          <w:rFonts w:hint="default"/>
          <w:lang w:val="en-US" w:eastAsia="zh-CN"/>
        </w:rPr>
        <w:t>。新预案明确了以企业微信为一级通知、手机电话为二级保障的协同通讯机制，并规定了不同紧急级别的呼叫升级流程。本月末组织的专项培训与演练结果显示，指令传达的及时性已得到显著提升。</w:t>
      </w:r>
    </w:p>
    <w:p w14:paraId="5D04955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闭环情况：此项改进已初步完成，将于下月进行复盘以确认其长期有效性。</w:t>
      </w:r>
    </w:p>
    <w:p w14:paraId="025AA0AA">
      <w:pPr>
        <w:pStyle w:val="28"/>
        <w:bidi w:val="0"/>
        <w:rPr>
          <w:rFonts w:hint="default"/>
          <w:lang w:val="en-US" w:eastAsia="zh-CN"/>
        </w:rPr>
      </w:pPr>
      <w:bookmarkStart w:id="15" w:name="_Toc7808"/>
      <w:r>
        <w:rPr>
          <w:rFonts w:hint="default"/>
          <w:lang w:val="en-US" w:eastAsia="zh-CN"/>
        </w:rPr>
        <w:t>综合风险分析与结论</w:t>
      </w:r>
      <w:bookmarkEnd w:id="15"/>
    </w:p>
    <w:p w14:paraId="3D1B14E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截止</w:t>
      </w:r>
      <w:r>
        <w:rPr>
          <w:rFonts w:hint="default"/>
          <w:lang w:val="en-US" w:eastAsia="zh-CN"/>
        </w:rPr>
        <w:t>九月份的运维巡检与各项数据表明，晋城市产业互联网数字化共享服务平台处于健康、稳定、安全的运行状态。我司提供的运维服务在交付质量、过程规范性与客户满意度方面均达到了预期目标。服务级别协议（SLA）的各项关键指标均以100%的符合率完成，这不仅履行了合同承诺，也印证了我们运维服务体系的成熟与可靠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F711E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9350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link w:val="43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character" w:customStyle="1" w:styleId="43">
    <w:name w:val="柴_标题3 Char"/>
    <w:link w:val="31"/>
    <w:qFormat/>
    <w:uiPriority w:val="0"/>
    <w:rPr>
      <w:rFonts w:ascii="宋体" w:hAnsi="宋体" w:eastAsia="宋体" w:cs="宋体"/>
      <w:spacing w:val="-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2251</Words>
  <Characters>2377</Characters>
  <Lines>0</Lines>
  <Paragraphs>0</Paragraphs>
  <TotalTime>0</TotalTime>
  <ScaleCrop>false</ScaleCrop>
  <LinksUpToDate>false</LinksUpToDate>
  <CharactersWithSpaces>2440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2026-01-20T07:34:24Z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