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8D5ADD">
      <w:pPr>
        <w:pStyle w:val="25"/>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9613"/>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7"/>
                    <a:stretch>
                      <a:fillRect/>
                    </a:stretch>
                  </pic:blipFill>
                  <pic:spPr>
                    <a:xfrm>
                      <a:off x="0" y="0"/>
                      <a:ext cx="5304790" cy="8893810"/>
                    </a:xfrm>
                    <a:prstGeom prst="rect">
                      <a:avLst/>
                    </a:prstGeom>
                    <a:noFill/>
                    <a:ln>
                      <a:noFill/>
                    </a:ln>
                  </pic:spPr>
                </pic:pic>
              </a:graphicData>
            </a:graphic>
          </wp:anchor>
        </w:drawing>
      </w:r>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江西通信产业服务有限公司</w:t>
      </w:r>
      <w:bookmarkEnd w:id="0"/>
    </w:p>
    <w:p w14:paraId="05ADD271">
      <w:pPr>
        <w:pStyle w:val="26"/>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0016"/>
      <w:r>
        <w:rPr>
          <w:rFonts w:hint="eastAsia"/>
          <w:lang w:val="en-US" w:eastAsia="zh-CN"/>
        </w:rPr>
        <w:t>运维资源应用情况说明</w:t>
      </w:r>
      <w:bookmarkEnd w:id="1"/>
    </w:p>
    <w:p w14:paraId="3766B4DD">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eastAsia"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JXTX</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8</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7</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2A620A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505DE6E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数智运营部</w:t>
            </w:r>
          </w:p>
        </w:tc>
        <w:tc>
          <w:tcPr>
            <w:tcW w:w="2708" w:type="dxa"/>
          </w:tcPr>
          <w:p w14:paraId="49F8E765">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42CFD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260B1D51">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518B3C54">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r w14:paraId="370E2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6A971CD4">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涂志云</w:t>
            </w:r>
          </w:p>
        </w:tc>
        <w:tc>
          <w:tcPr>
            <w:tcW w:w="2708" w:type="dxa"/>
          </w:tcPr>
          <w:p w14:paraId="0878FDF7">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2025.11.30</w:t>
            </w:r>
          </w:p>
        </w:tc>
      </w:tr>
    </w:tbl>
    <w:p w14:paraId="38EDE64F">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3FD83C05">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7"/>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3A0DE4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524B4952">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2C53D39B">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42635A41">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70BCE330">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3D2ED218">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04613B56">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2E305B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3B2F7974">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2025.</w:t>
            </w:r>
            <w:r>
              <w:rPr>
                <w:rFonts w:hint="eastAsia" w:ascii="宋体" w:hAnsi="宋体" w:cs="宋体"/>
                <w:spacing w:val="3"/>
                <w:position w:val="1"/>
                <w:sz w:val="20"/>
                <w:szCs w:val="20"/>
                <w:lang w:val="en-US" w:eastAsia="zh-CN"/>
              </w:rPr>
              <w:t>11</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30</w:t>
            </w:r>
          </w:p>
        </w:tc>
        <w:tc>
          <w:tcPr>
            <w:tcW w:w="972" w:type="dxa"/>
          </w:tcPr>
          <w:p w14:paraId="44C0E9DF">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7E5B251B">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78174339">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徐超超</w:t>
            </w:r>
          </w:p>
        </w:tc>
        <w:tc>
          <w:tcPr>
            <w:tcW w:w="1606" w:type="dxa"/>
          </w:tcPr>
          <w:p w14:paraId="57AC4376">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宋体" w:hAnsi="宋体" w:eastAsia="宋体" w:cs="宋体"/>
                <w:spacing w:val="200"/>
                <w:kern w:val="0"/>
                <w:sz w:val="20"/>
                <w:szCs w:val="20"/>
              </w:rPr>
              <w:t>何</w:t>
            </w:r>
            <w:r>
              <w:rPr>
                <w:rFonts w:hint="eastAsia" w:asciiTheme="minorAscii" w:hAnsiTheme="minorAscii" w:eastAsiaTheme="minorEastAsia"/>
                <w:spacing w:val="0"/>
                <w:kern w:val="0"/>
                <w:sz w:val="21"/>
                <w:vertAlign w:val="baseline"/>
                <w:lang w:val="en-US" w:eastAsia="zh-CN"/>
              </w:rPr>
              <w:t>峻</w:t>
            </w:r>
          </w:p>
        </w:tc>
        <w:tc>
          <w:tcPr>
            <w:tcW w:w="915" w:type="dxa"/>
          </w:tcPr>
          <w:p w14:paraId="524DA1F7">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涂志云</w:t>
            </w:r>
          </w:p>
        </w:tc>
      </w:tr>
      <w:tr w14:paraId="371269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1EB22CD2">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24AC730D">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1EF4F20">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08B1B2E7">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3129615">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3A21871A">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5E694D1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48D896D">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5AD96C28">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5A693233">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2461D796">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502846FF">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582D0DDF">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00D13F5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0CBBD1E3">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B9EA029">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00F9114D">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7C94E1E5">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342AEE4">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1A9570E4">
            <w:pPr>
              <w:pStyle w:val="28"/>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64270FCD">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60EC599B">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145FBB0B">
          <w:pPr>
            <w:pStyle w:val="16"/>
            <w:tabs>
              <w:tab w:val="right" w:leader="dot" w:pos="8306"/>
            </w:tabs>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_Toc29613 </w:instrText>
          </w:r>
          <w:r>
            <w:rPr>
              <w:rFonts w:hint="eastAsia" w:ascii="宋体" w:hAnsi="宋体" w:eastAsia="宋体" w:cs="宋体"/>
              <w:szCs w:val="24"/>
            </w:rPr>
            <w:fldChar w:fldCharType="separate"/>
          </w:r>
          <w:r>
            <w:rPr>
              <w:rFonts w:hint="eastAsia"/>
              <w:lang w:val="en-US" w:eastAsia="zh-CN"/>
            </w:rPr>
            <w:t>江西通信产业服务有限公司</w:t>
          </w:r>
          <w:r>
            <w:tab/>
          </w:r>
          <w:r>
            <w:fldChar w:fldCharType="begin"/>
          </w:r>
          <w:r>
            <w:instrText xml:space="preserve"> PAGEREF _Toc29613 \h </w:instrText>
          </w:r>
          <w:r>
            <w:fldChar w:fldCharType="separate"/>
          </w:r>
          <w:r>
            <w:t>1</w:t>
          </w:r>
          <w:r>
            <w:fldChar w:fldCharType="end"/>
          </w:r>
          <w:r>
            <w:rPr>
              <w:rFonts w:hint="eastAsia" w:ascii="宋体" w:hAnsi="宋体" w:eastAsia="宋体" w:cs="宋体"/>
              <w:szCs w:val="24"/>
            </w:rPr>
            <w:fldChar w:fldCharType="end"/>
          </w:r>
        </w:p>
        <w:p w14:paraId="54855E5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_Toc10016 </w:instrText>
          </w:r>
          <w:r>
            <w:rPr>
              <w:rFonts w:hint="eastAsia" w:ascii="宋体" w:hAnsi="宋体" w:eastAsia="宋体" w:cs="宋体"/>
              <w:szCs w:val="24"/>
            </w:rPr>
            <w:fldChar w:fldCharType="separate"/>
          </w:r>
          <w:r>
            <w:rPr>
              <w:rFonts w:hint="eastAsia"/>
              <w:lang w:val="en-US" w:eastAsia="zh-CN"/>
            </w:rPr>
            <w:t>运维资源应用情况说明</w:t>
          </w:r>
          <w:r>
            <w:tab/>
          </w:r>
          <w:r>
            <w:fldChar w:fldCharType="begin"/>
          </w:r>
          <w:r>
            <w:instrText xml:space="preserve"> PAGEREF _Toc10016 \h </w:instrText>
          </w:r>
          <w:r>
            <w:fldChar w:fldCharType="separate"/>
          </w:r>
          <w:r>
            <w:t>1</w:t>
          </w:r>
          <w:r>
            <w:fldChar w:fldCharType="end"/>
          </w:r>
          <w:r>
            <w:rPr>
              <w:rFonts w:hint="eastAsia" w:ascii="宋体" w:hAnsi="宋体" w:eastAsia="宋体" w:cs="宋体"/>
              <w:szCs w:val="24"/>
            </w:rPr>
            <w:fldChar w:fldCharType="end"/>
          </w:r>
        </w:p>
        <w:p w14:paraId="58E155F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_Toc11072 </w:instrText>
          </w:r>
          <w:r>
            <w:rPr>
              <w:rFonts w:hint="eastAsia" w:ascii="宋体" w:hAnsi="宋体" w:eastAsia="宋体" w:cs="宋体"/>
              <w:szCs w:val="24"/>
            </w:rPr>
            <w:fldChar w:fldCharType="separate"/>
          </w:r>
          <w:r>
            <w:rPr>
              <w:rFonts w:hint="default"/>
              <w:lang w:val="en-US" w:eastAsia="zh-CN"/>
            </w:rPr>
            <w:t xml:space="preserve">1. </w:t>
          </w:r>
          <w:r>
            <w:rPr>
              <w:rFonts w:hint="eastAsia"/>
              <w:lang w:val="en-US" w:eastAsia="zh-CN"/>
            </w:rPr>
            <w:t>运维工具应用情况说明</w:t>
          </w:r>
          <w:r>
            <w:tab/>
          </w:r>
          <w:r>
            <w:fldChar w:fldCharType="begin"/>
          </w:r>
          <w:r>
            <w:instrText xml:space="preserve"> PAGEREF _Toc11072 \h </w:instrText>
          </w:r>
          <w:r>
            <w:fldChar w:fldCharType="separate"/>
          </w:r>
          <w:r>
            <w:t>4</w:t>
          </w:r>
          <w:r>
            <w:fldChar w:fldCharType="end"/>
          </w:r>
          <w:r>
            <w:rPr>
              <w:rFonts w:hint="eastAsia" w:ascii="宋体" w:hAnsi="宋体" w:eastAsia="宋体" w:cs="宋体"/>
              <w:szCs w:val="24"/>
            </w:rPr>
            <w:fldChar w:fldCharType="end"/>
          </w:r>
        </w:p>
        <w:p w14:paraId="38ED5A8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_Toc19813 </w:instrText>
          </w:r>
          <w:r>
            <w:rPr>
              <w:rFonts w:hint="eastAsia" w:ascii="宋体" w:hAnsi="宋体" w:eastAsia="宋体" w:cs="宋体"/>
              <w:szCs w:val="24"/>
            </w:rPr>
            <w:fldChar w:fldCharType="separate"/>
          </w:r>
          <w:r>
            <w:rPr>
              <w:rFonts w:hint="default"/>
              <w:lang w:val="en-US" w:eastAsia="zh-CN"/>
            </w:rPr>
            <w:t xml:space="preserve">1.1. </w:t>
          </w:r>
          <w:r>
            <w:rPr>
              <w:rFonts w:hint="eastAsia"/>
              <w:lang w:val="en-US" w:eastAsia="zh-CN"/>
            </w:rPr>
            <w:t>过程管理工具</w:t>
          </w:r>
          <w:r>
            <w:tab/>
          </w:r>
          <w:r>
            <w:fldChar w:fldCharType="begin"/>
          </w:r>
          <w:r>
            <w:instrText xml:space="preserve"> PAGEREF _Toc19813 \h </w:instrText>
          </w:r>
          <w:r>
            <w:fldChar w:fldCharType="separate"/>
          </w:r>
          <w:r>
            <w:t>4</w:t>
          </w:r>
          <w:r>
            <w:fldChar w:fldCharType="end"/>
          </w:r>
          <w:r>
            <w:rPr>
              <w:rFonts w:hint="eastAsia" w:ascii="宋体" w:hAnsi="宋体" w:eastAsia="宋体" w:cs="宋体"/>
              <w:szCs w:val="24"/>
            </w:rPr>
            <w:fldChar w:fldCharType="end"/>
          </w:r>
        </w:p>
        <w:p w14:paraId="6D37AE3B">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_Toc32158 </w:instrText>
          </w:r>
          <w:r>
            <w:rPr>
              <w:rFonts w:hint="eastAsia" w:ascii="宋体" w:hAnsi="宋体" w:eastAsia="宋体" w:cs="宋体"/>
              <w:szCs w:val="24"/>
            </w:rPr>
            <w:fldChar w:fldCharType="separate"/>
          </w:r>
          <w:r>
            <w:rPr>
              <w:rFonts w:hint="default"/>
              <w:lang w:val="en-US" w:eastAsia="zh-CN"/>
            </w:rPr>
            <w:t xml:space="preserve">1.1.1. </w:t>
          </w:r>
          <w:r>
            <w:rPr>
              <w:rFonts w:hint="eastAsia"/>
              <w:lang w:val="en-US" w:eastAsia="zh-CN"/>
            </w:rPr>
            <w:t>软件名称</w:t>
          </w:r>
          <w:r>
            <w:tab/>
          </w:r>
          <w:r>
            <w:fldChar w:fldCharType="begin"/>
          </w:r>
          <w:r>
            <w:instrText xml:space="preserve"> PAGEREF _Toc32158 \h </w:instrText>
          </w:r>
          <w:r>
            <w:fldChar w:fldCharType="separate"/>
          </w:r>
          <w:r>
            <w:t>4</w:t>
          </w:r>
          <w:r>
            <w:fldChar w:fldCharType="end"/>
          </w:r>
          <w:r>
            <w:rPr>
              <w:rFonts w:hint="eastAsia" w:ascii="宋体" w:hAnsi="宋体" w:eastAsia="宋体" w:cs="宋体"/>
              <w:szCs w:val="24"/>
            </w:rPr>
            <w:fldChar w:fldCharType="end"/>
          </w:r>
        </w:p>
        <w:p w14:paraId="31E6D9F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_Toc620 </w:instrText>
          </w:r>
          <w:r>
            <w:rPr>
              <w:rFonts w:hint="eastAsia" w:ascii="宋体" w:hAnsi="宋体" w:eastAsia="宋体" w:cs="宋体"/>
              <w:szCs w:val="24"/>
            </w:rPr>
            <w:fldChar w:fldCharType="separate"/>
          </w:r>
          <w:r>
            <w:rPr>
              <w:rFonts w:hint="default"/>
              <w:lang w:val="en-US" w:eastAsia="zh-CN"/>
            </w:rPr>
            <w:t xml:space="preserve">1.1.2. </w:t>
          </w:r>
          <w:r>
            <w:rPr>
              <w:rFonts w:hint="eastAsia"/>
              <w:lang w:val="en-US" w:eastAsia="zh-CN"/>
            </w:rPr>
            <w:t>软件来源</w:t>
          </w:r>
          <w:r>
            <w:tab/>
          </w:r>
          <w:r>
            <w:fldChar w:fldCharType="begin"/>
          </w:r>
          <w:r>
            <w:instrText xml:space="preserve"> PAGEREF _Toc620 \h </w:instrText>
          </w:r>
          <w:r>
            <w:fldChar w:fldCharType="separate"/>
          </w:r>
          <w:r>
            <w:t>4</w:t>
          </w:r>
          <w:r>
            <w:fldChar w:fldCharType="end"/>
          </w:r>
          <w:r>
            <w:rPr>
              <w:rFonts w:hint="eastAsia" w:ascii="宋体" w:hAnsi="宋体" w:eastAsia="宋体" w:cs="宋体"/>
              <w:szCs w:val="24"/>
            </w:rPr>
            <w:fldChar w:fldCharType="end"/>
          </w:r>
        </w:p>
        <w:p w14:paraId="176C30C1">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_Toc26437 </w:instrText>
          </w:r>
          <w:r>
            <w:rPr>
              <w:rFonts w:hint="eastAsia" w:ascii="宋体" w:hAnsi="宋体" w:eastAsia="宋体" w:cs="宋体"/>
              <w:szCs w:val="24"/>
            </w:rPr>
            <w:fldChar w:fldCharType="separate"/>
          </w:r>
          <w:r>
            <w:rPr>
              <w:rFonts w:hint="default"/>
              <w:lang w:val="en-US" w:eastAsia="zh-CN"/>
            </w:rPr>
            <w:t xml:space="preserve">1.1.3. </w:t>
          </w:r>
          <w:r>
            <w:rPr>
              <w:rFonts w:hint="eastAsia"/>
              <w:lang w:val="en-US" w:eastAsia="zh-CN"/>
            </w:rPr>
            <w:t>软件特色</w:t>
          </w:r>
          <w:r>
            <w:tab/>
          </w:r>
          <w:r>
            <w:fldChar w:fldCharType="begin"/>
          </w:r>
          <w:r>
            <w:instrText xml:space="preserve"> PAGEREF _Toc26437 \h </w:instrText>
          </w:r>
          <w:r>
            <w:fldChar w:fldCharType="separate"/>
          </w:r>
          <w:r>
            <w:t>4</w:t>
          </w:r>
          <w:r>
            <w:fldChar w:fldCharType="end"/>
          </w:r>
          <w:r>
            <w:rPr>
              <w:rFonts w:hint="eastAsia" w:ascii="宋体" w:hAnsi="宋体" w:eastAsia="宋体" w:cs="宋体"/>
              <w:szCs w:val="24"/>
            </w:rPr>
            <w:fldChar w:fldCharType="end"/>
          </w:r>
        </w:p>
        <w:p w14:paraId="4874804D">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_Toc990 </w:instrText>
          </w:r>
          <w:r>
            <w:rPr>
              <w:rFonts w:hint="eastAsia" w:ascii="宋体" w:hAnsi="宋体" w:eastAsia="宋体" w:cs="宋体"/>
              <w:szCs w:val="24"/>
            </w:rPr>
            <w:fldChar w:fldCharType="separate"/>
          </w:r>
          <w:r>
            <w:rPr>
              <w:rFonts w:hint="default"/>
              <w:lang w:val="en-US" w:eastAsia="zh-CN"/>
            </w:rPr>
            <w:t xml:space="preserve">1.1.4. </w:t>
          </w:r>
          <w:r>
            <w:rPr>
              <w:rFonts w:hint="eastAsia"/>
              <w:lang w:val="en-US" w:eastAsia="zh-CN"/>
            </w:rPr>
            <w:t>功能介绍</w:t>
          </w:r>
          <w:r>
            <w:tab/>
          </w:r>
          <w:r>
            <w:fldChar w:fldCharType="begin"/>
          </w:r>
          <w:r>
            <w:instrText xml:space="preserve"> PAGEREF _Toc990 \h </w:instrText>
          </w:r>
          <w:r>
            <w:fldChar w:fldCharType="separate"/>
          </w:r>
          <w:r>
            <w:t>4</w:t>
          </w:r>
          <w:r>
            <w:fldChar w:fldCharType="end"/>
          </w:r>
          <w:r>
            <w:rPr>
              <w:rFonts w:hint="eastAsia" w:ascii="宋体" w:hAnsi="宋体" w:eastAsia="宋体" w:cs="宋体"/>
              <w:szCs w:val="24"/>
            </w:rPr>
            <w:fldChar w:fldCharType="end"/>
          </w:r>
        </w:p>
        <w:p w14:paraId="73556BD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_Toc7642 </w:instrText>
          </w:r>
          <w:r>
            <w:rPr>
              <w:rFonts w:hint="eastAsia" w:ascii="宋体" w:hAnsi="宋体" w:eastAsia="宋体" w:cs="宋体"/>
              <w:szCs w:val="24"/>
            </w:rPr>
            <w:fldChar w:fldCharType="separate"/>
          </w:r>
          <w:r>
            <w:rPr>
              <w:rFonts w:hint="default"/>
              <w:lang w:val="en-US" w:eastAsia="zh-CN"/>
            </w:rPr>
            <w:t xml:space="preserve">1.2. </w:t>
          </w:r>
          <w:r>
            <w:rPr>
              <w:rFonts w:hint="eastAsia"/>
              <w:lang w:val="en-US" w:eastAsia="zh-CN"/>
            </w:rPr>
            <w:t>监控工具</w:t>
          </w:r>
          <w:r>
            <w:tab/>
          </w:r>
          <w:r>
            <w:fldChar w:fldCharType="begin"/>
          </w:r>
          <w:r>
            <w:instrText xml:space="preserve"> PAGEREF _Toc7642 \h </w:instrText>
          </w:r>
          <w:r>
            <w:fldChar w:fldCharType="separate"/>
          </w:r>
          <w:r>
            <w:t>4</w:t>
          </w:r>
          <w:r>
            <w:fldChar w:fldCharType="end"/>
          </w:r>
          <w:r>
            <w:rPr>
              <w:rFonts w:hint="eastAsia" w:ascii="宋体" w:hAnsi="宋体" w:eastAsia="宋体" w:cs="宋体"/>
              <w:szCs w:val="24"/>
            </w:rPr>
            <w:fldChar w:fldCharType="end"/>
          </w:r>
        </w:p>
        <w:p w14:paraId="75F87318">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_Toc19708 </w:instrText>
          </w:r>
          <w:r>
            <w:rPr>
              <w:rFonts w:hint="eastAsia" w:ascii="宋体" w:hAnsi="宋体" w:eastAsia="宋体" w:cs="宋体"/>
              <w:szCs w:val="24"/>
            </w:rPr>
            <w:fldChar w:fldCharType="separate"/>
          </w:r>
          <w:r>
            <w:rPr>
              <w:rFonts w:hint="default"/>
              <w:lang w:val="en-US" w:eastAsia="zh-CN"/>
            </w:rPr>
            <w:t xml:space="preserve">1.2.1. </w:t>
          </w:r>
          <w:r>
            <w:rPr>
              <w:rFonts w:hint="eastAsia"/>
              <w:lang w:val="en-US" w:eastAsia="zh-CN"/>
            </w:rPr>
            <w:t>软件名称</w:t>
          </w:r>
          <w:r>
            <w:tab/>
          </w:r>
          <w:r>
            <w:fldChar w:fldCharType="begin"/>
          </w:r>
          <w:r>
            <w:instrText xml:space="preserve"> PAGEREF _Toc19708 \h </w:instrText>
          </w:r>
          <w:r>
            <w:fldChar w:fldCharType="separate"/>
          </w:r>
          <w:r>
            <w:t>4</w:t>
          </w:r>
          <w:r>
            <w:fldChar w:fldCharType="end"/>
          </w:r>
          <w:r>
            <w:rPr>
              <w:rFonts w:hint="eastAsia" w:ascii="宋体" w:hAnsi="宋体" w:eastAsia="宋体" w:cs="宋体"/>
              <w:szCs w:val="24"/>
            </w:rPr>
            <w:fldChar w:fldCharType="end"/>
          </w:r>
        </w:p>
        <w:p w14:paraId="24399BE7">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_Toc8964 </w:instrText>
          </w:r>
          <w:r>
            <w:rPr>
              <w:rFonts w:hint="eastAsia" w:ascii="宋体" w:hAnsi="宋体" w:eastAsia="宋体" w:cs="宋体"/>
              <w:szCs w:val="24"/>
            </w:rPr>
            <w:fldChar w:fldCharType="separate"/>
          </w:r>
          <w:r>
            <w:rPr>
              <w:rFonts w:hint="default"/>
              <w:lang w:val="en-US" w:eastAsia="zh-CN"/>
            </w:rPr>
            <w:t xml:space="preserve">1.2.2. </w:t>
          </w:r>
          <w:r>
            <w:rPr>
              <w:rFonts w:hint="eastAsia"/>
              <w:lang w:val="en-US" w:eastAsia="zh-CN"/>
            </w:rPr>
            <w:t>软件来源</w:t>
          </w:r>
          <w:r>
            <w:tab/>
          </w:r>
          <w:r>
            <w:fldChar w:fldCharType="begin"/>
          </w:r>
          <w:r>
            <w:instrText xml:space="preserve"> PAGEREF _Toc8964 \h </w:instrText>
          </w:r>
          <w:r>
            <w:fldChar w:fldCharType="separate"/>
          </w:r>
          <w:r>
            <w:t>4</w:t>
          </w:r>
          <w:r>
            <w:fldChar w:fldCharType="end"/>
          </w:r>
          <w:r>
            <w:rPr>
              <w:rFonts w:hint="eastAsia" w:ascii="宋体" w:hAnsi="宋体" w:eastAsia="宋体" w:cs="宋体"/>
              <w:szCs w:val="24"/>
            </w:rPr>
            <w:fldChar w:fldCharType="end"/>
          </w:r>
        </w:p>
        <w:p w14:paraId="79D9B1B2">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_Toc9882 </w:instrText>
          </w:r>
          <w:r>
            <w:rPr>
              <w:rFonts w:hint="eastAsia" w:ascii="宋体" w:hAnsi="宋体" w:eastAsia="宋体" w:cs="宋体"/>
              <w:szCs w:val="24"/>
            </w:rPr>
            <w:fldChar w:fldCharType="separate"/>
          </w:r>
          <w:r>
            <w:rPr>
              <w:rFonts w:hint="default"/>
              <w:lang w:val="en-US" w:eastAsia="zh-CN"/>
            </w:rPr>
            <w:t xml:space="preserve">1.2.3. </w:t>
          </w:r>
          <w:r>
            <w:rPr>
              <w:rFonts w:hint="eastAsia"/>
              <w:lang w:val="en-US" w:eastAsia="zh-CN"/>
            </w:rPr>
            <w:t>软件特色</w:t>
          </w:r>
          <w:r>
            <w:tab/>
          </w:r>
          <w:r>
            <w:fldChar w:fldCharType="begin"/>
          </w:r>
          <w:r>
            <w:instrText xml:space="preserve"> PAGEREF _Toc9882 \h </w:instrText>
          </w:r>
          <w:r>
            <w:fldChar w:fldCharType="separate"/>
          </w:r>
          <w:r>
            <w:t>4</w:t>
          </w:r>
          <w:r>
            <w:fldChar w:fldCharType="end"/>
          </w:r>
          <w:r>
            <w:rPr>
              <w:rFonts w:hint="eastAsia" w:ascii="宋体" w:hAnsi="宋体" w:eastAsia="宋体" w:cs="宋体"/>
              <w:szCs w:val="24"/>
            </w:rPr>
            <w:fldChar w:fldCharType="end"/>
          </w:r>
        </w:p>
        <w:p w14:paraId="4C4DD94E">
          <w:pPr>
            <w:pStyle w:val="13"/>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_Toc15101 </w:instrText>
          </w:r>
          <w:r>
            <w:rPr>
              <w:rFonts w:hint="eastAsia" w:ascii="宋体" w:hAnsi="宋体" w:eastAsia="宋体" w:cs="宋体"/>
              <w:szCs w:val="24"/>
            </w:rPr>
            <w:fldChar w:fldCharType="separate"/>
          </w:r>
          <w:r>
            <w:rPr>
              <w:rFonts w:hint="default"/>
              <w:lang w:val="en-US" w:eastAsia="zh-CN"/>
            </w:rPr>
            <w:t xml:space="preserve">1.2.4. </w:t>
          </w:r>
          <w:r>
            <w:rPr>
              <w:rFonts w:hint="eastAsia"/>
              <w:lang w:val="en-US" w:eastAsia="zh-CN"/>
            </w:rPr>
            <w:t>功能介绍</w:t>
          </w:r>
          <w:r>
            <w:tab/>
          </w:r>
          <w:r>
            <w:fldChar w:fldCharType="begin"/>
          </w:r>
          <w:r>
            <w:instrText xml:space="preserve"> PAGEREF _Toc15101 \h </w:instrText>
          </w:r>
          <w:r>
            <w:fldChar w:fldCharType="separate"/>
          </w:r>
          <w:r>
            <w:t>5</w:t>
          </w:r>
          <w:r>
            <w:fldChar w:fldCharType="end"/>
          </w:r>
          <w:r>
            <w:rPr>
              <w:rFonts w:hint="eastAsia" w:ascii="宋体" w:hAnsi="宋体" w:eastAsia="宋体" w:cs="宋体"/>
              <w:szCs w:val="24"/>
            </w:rPr>
            <w:fldChar w:fldCharType="end"/>
          </w:r>
        </w:p>
        <w:p w14:paraId="14228EAD">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C16B2F5">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53A2EDC">
      <w:pPr>
        <w:pStyle w:val="29"/>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2" w:name="_Toc11072"/>
      <w:r>
        <w:rPr>
          <w:rFonts w:hint="eastAsia"/>
          <w:lang w:val="en-US" w:eastAsia="zh-CN"/>
        </w:rPr>
        <w:t>运维工具应用情况说明</w:t>
      </w:r>
      <w:bookmarkEnd w:id="2"/>
    </w:p>
    <w:p w14:paraId="361B4BD0">
      <w:pPr>
        <w:pStyle w:val="31"/>
        <w:bidi w:val="0"/>
        <w:rPr>
          <w:rFonts w:hint="eastAsia"/>
          <w:lang w:val="en-US" w:eastAsia="zh-CN"/>
        </w:rPr>
      </w:pPr>
      <w:bookmarkStart w:id="3" w:name="_Toc19813"/>
      <w:r>
        <w:rPr>
          <w:rFonts w:hint="eastAsia"/>
          <w:lang w:val="en-US" w:eastAsia="zh-CN"/>
        </w:rPr>
        <w:t>过程管理工具</w:t>
      </w:r>
      <w:bookmarkEnd w:id="3"/>
    </w:p>
    <w:p w14:paraId="2BB531F9">
      <w:pPr>
        <w:pStyle w:val="32"/>
        <w:bidi w:val="0"/>
        <w:rPr>
          <w:rFonts w:hint="eastAsia"/>
          <w:lang w:val="en-US" w:eastAsia="zh-CN"/>
        </w:rPr>
      </w:pPr>
      <w:bookmarkStart w:id="4" w:name="_Toc32158"/>
      <w:r>
        <w:rPr>
          <w:rFonts w:hint="eastAsia"/>
          <w:lang w:val="en-US" w:eastAsia="zh-CN"/>
        </w:rPr>
        <w:t>软件名称</w:t>
      </w:r>
      <w:bookmarkEnd w:id="4"/>
    </w:p>
    <w:p w14:paraId="3C51F853">
      <w:pPr>
        <w:pStyle w:val="30"/>
        <w:bidi w:val="0"/>
        <w:rPr>
          <w:rFonts w:hint="eastAsia"/>
          <w:lang w:val="en-US" w:eastAsia="zh-CN"/>
        </w:rPr>
      </w:pPr>
      <w:r>
        <w:rPr>
          <w:rFonts w:hint="eastAsia"/>
          <w:lang w:val="en-US" w:eastAsia="zh-CN"/>
        </w:rPr>
        <w:t>通服信息化服务平台</w:t>
      </w:r>
    </w:p>
    <w:p w14:paraId="0A66846B">
      <w:pPr>
        <w:pStyle w:val="32"/>
        <w:bidi w:val="0"/>
        <w:rPr>
          <w:rFonts w:hint="default"/>
          <w:lang w:val="en-US" w:eastAsia="zh-CN"/>
        </w:rPr>
      </w:pPr>
      <w:bookmarkStart w:id="5" w:name="_Toc620"/>
      <w:r>
        <w:rPr>
          <w:rFonts w:hint="eastAsia"/>
          <w:lang w:val="en-US" w:eastAsia="zh-CN"/>
        </w:rPr>
        <w:t>软件来源</w:t>
      </w:r>
      <w:bookmarkEnd w:id="5"/>
    </w:p>
    <w:p w14:paraId="3C7D0555">
      <w:pPr>
        <w:pStyle w:val="30"/>
        <w:bidi w:val="0"/>
        <w:rPr>
          <w:rFonts w:hint="default"/>
          <w:lang w:val="en-US" w:eastAsia="zh-CN"/>
        </w:rPr>
      </w:pPr>
      <w:r>
        <w:rPr>
          <w:rFonts w:hint="eastAsia"/>
          <w:lang w:val="en-US" w:eastAsia="zh-CN"/>
        </w:rPr>
        <w:t>自研</w:t>
      </w:r>
    </w:p>
    <w:p w14:paraId="28D3EA18">
      <w:pPr>
        <w:pStyle w:val="32"/>
        <w:bidi w:val="0"/>
        <w:rPr>
          <w:rFonts w:hint="default"/>
          <w:lang w:val="en-US" w:eastAsia="zh-CN"/>
        </w:rPr>
      </w:pPr>
      <w:bookmarkStart w:id="6" w:name="_Toc26437"/>
      <w:r>
        <w:rPr>
          <w:rFonts w:hint="eastAsia"/>
          <w:lang w:val="en-US" w:eastAsia="zh-CN"/>
        </w:rPr>
        <w:t>软件特色</w:t>
      </w:r>
      <w:bookmarkEnd w:id="6"/>
    </w:p>
    <w:p w14:paraId="7DE1B564">
      <w:pPr>
        <w:pStyle w:val="30"/>
        <w:rPr>
          <w:rFonts w:hint="default"/>
          <w:lang w:val="en-US" w:eastAsia="zh-CN"/>
        </w:rPr>
      </w:pPr>
      <w:r>
        <w:rPr>
          <w:rFonts w:hint="eastAsia" w:ascii="宋体" w:hAnsi="宋体" w:eastAsia="宋体" w:cs="宋体"/>
          <w:sz w:val="21"/>
          <w:szCs w:val="21"/>
        </w:rPr>
        <w:t>集成了工单全生命周期管理、统一服务门户、多系统协同处理与全景数据报表分析四大核心能力。平台构建了从“申告-受理-处理-办结-评价”的完整闭环流程，并融合了公告发布、模板库管理与服务满意度监测等模块，旨在为企业内部用户与运维团队提供标准化、透明化、高效化的统一服务入口与运营支撑。</w:t>
      </w:r>
    </w:p>
    <w:p w14:paraId="161D56AF">
      <w:pPr>
        <w:pStyle w:val="32"/>
        <w:bidi w:val="0"/>
        <w:rPr>
          <w:rFonts w:hint="default"/>
          <w:lang w:val="en-US" w:eastAsia="zh-CN"/>
        </w:rPr>
      </w:pPr>
      <w:bookmarkStart w:id="7" w:name="_Toc990"/>
      <w:r>
        <w:rPr>
          <w:rFonts w:hint="eastAsia"/>
          <w:lang w:val="en-US" w:eastAsia="zh-CN"/>
        </w:rPr>
        <w:t>功能介绍</w:t>
      </w:r>
      <w:bookmarkEnd w:id="7"/>
    </w:p>
    <w:p w14:paraId="68E41948">
      <w:pPr>
        <w:pStyle w:val="30"/>
        <w:bidi w:val="0"/>
      </w:pPr>
      <w:r>
        <w:t>该功能提供个人提交的所有工单处理状态、流转节点与实时进展的集中查看入口，方便您及时掌握办理进度并跟进处理结果。</w:t>
      </w:r>
    </w:p>
    <w:p w14:paraId="72C76F31">
      <w:pPr>
        <w:pStyle w:val="30"/>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我的申告</w:t>
      </w:r>
    </w:p>
    <w:p w14:paraId="757B2FBC">
      <w:pPr>
        <w:pStyle w:val="30"/>
        <w:ind w:left="0" w:leftChars="0" w:right="0" w:rightChars="0" w:firstLine="0" w:firstLineChars="0"/>
        <w:jc w:val="center"/>
      </w:pPr>
      <w:r>
        <w:drawing>
          <wp:inline distT="0" distB="0" distL="114300" distR="114300">
            <wp:extent cx="5095875" cy="2941320"/>
            <wp:effectExtent l="0" t="0" r="9525" b="0"/>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5095875" cy="2941320"/>
                    </a:xfrm>
                    <a:prstGeom prst="rect">
                      <a:avLst/>
                    </a:prstGeom>
                    <a:noFill/>
                    <a:ln>
                      <a:noFill/>
                    </a:ln>
                  </pic:spPr>
                </pic:pic>
              </a:graphicData>
            </a:graphic>
          </wp:inline>
        </w:drawing>
      </w:r>
    </w:p>
    <w:p w14:paraId="0D387583">
      <w:pPr>
        <w:pStyle w:val="30"/>
        <w:bidi w:val="0"/>
        <w:rPr>
          <w:rFonts w:hint="default"/>
        </w:rPr>
      </w:pPr>
      <w:r>
        <w:t>“所有工单”提供系统内全部工单的</w:t>
      </w:r>
      <w:r>
        <w:rPr>
          <w:rFonts w:hint="default"/>
        </w:rPr>
        <w:t>集中视图与管理入口。支持按状态、优先级、时间、所属系统等多维度筛选与查询，方便您全面掌握工单分布、处理进度及整体运营概况，实现对各类申告事务的统一跟踪与协同处理。</w:t>
      </w:r>
    </w:p>
    <w:p w14:paraId="16A18A07">
      <w:pPr>
        <w:pStyle w:val="30"/>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所有工单</w:t>
      </w:r>
    </w:p>
    <w:p w14:paraId="00289EB2">
      <w:pPr>
        <w:pStyle w:val="30"/>
        <w:ind w:left="0" w:leftChars="0" w:right="0" w:rightChars="0" w:firstLine="0" w:firstLineChars="0"/>
        <w:jc w:val="center"/>
      </w:pPr>
      <w:r>
        <w:drawing>
          <wp:inline distT="0" distB="0" distL="114300" distR="114300">
            <wp:extent cx="5264150" cy="2469515"/>
            <wp:effectExtent l="0" t="0" r="8890" b="14605"/>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1"/>
                    <a:stretch>
                      <a:fillRect/>
                    </a:stretch>
                  </pic:blipFill>
                  <pic:spPr>
                    <a:xfrm>
                      <a:off x="0" y="0"/>
                      <a:ext cx="5264150" cy="2469515"/>
                    </a:xfrm>
                    <a:prstGeom prst="rect">
                      <a:avLst/>
                    </a:prstGeom>
                    <a:noFill/>
                    <a:ln>
                      <a:noFill/>
                    </a:ln>
                  </pic:spPr>
                </pic:pic>
              </a:graphicData>
            </a:graphic>
          </wp:inline>
        </w:drawing>
      </w:r>
    </w:p>
    <w:p w14:paraId="1BE3C762">
      <w:pPr>
        <w:pStyle w:val="30"/>
        <w:ind w:left="0" w:leftChars="0" w:right="0" w:rightChars="0" w:firstLine="0" w:firstLineChars="0"/>
        <w:jc w:val="center"/>
      </w:pPr>
      <w:r>
        <w:drawing>
          <wp:inline distT="0" distB="0" distL="114300" distR="114300">
            <wp:extent cx="5269230" cy="2406015"/>
            <wp:effectExtent l="0" t="0" r="3810" b="1905"/>
            <wp:docPr id="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2"/>
                    <a:stretch>
                      <a:fillRect/>
                    </a:stretch>
                  </pic:blipFill>
                  <pic:spPr>
                    <a:xfrm>
                      <a:off x="0" y="0"/>
                      <a:ext cx="5269230" cy="2406015"/>
                    </a:xfrm>
                    <a:prstGeom prst="rect">
                      <a:avLst/>
                    </a:prstGeom>
                    <a:noFill/>
                    <a:ln>
                      <a:noFill/>
                    </a:ln>
                  </pic:spPr>
                </pic:pic>
              </a:graphicData>
            </a:graphic>
          </wp:inline>
        </w:drawing>
      </w:r>
    </w:p>
    <w:p w14:paraId="2596BC25">
      <w:pPr>
        <w:pStyle w:val="30"/>
        <w:ind w:left="0" w:leftChars="0" w:right="0" w:rightChars="0" w:firstLine="0" w:firstLineChars="0"/>
        <w:jc w:val="center"/>
      </w:pPr>
      <w:r>
        <w:drawing>
          <wp:inline distT="0" distB="0" distL="114300" distR="114300">
            <wp:extent cx="5272405" cy="2617470"/>
            <wp:effectExtent l="0" t="0" r="635" b="381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13"/>
                    <a:stretch>
                      <a:fillRect/>
                    </a:stretch>
                  </pic:blipFill>
                  <pic:spPr>
                    <a:xfrm>
                      <a:off x="0" y="0"/>
                      <a:ext cx="5272405" cy="2617470"/>
                    </a:xfrm>
                    <a:prstGeom prst="rect">
                      <a:avLst/>
                    </a:prstGeom>
                    <a:noFill/>
                    <a:ln>
                      <a:noFill/>
                    </a:ln>
                  </pic:spPr>
                </pic:pic>
              </a:graphicData>
            </a:graphic>
          </wp:inline>
        </w:drawing>
      </w:r>
    </w:p>
    <w:p w14:paraId="48700683">
      <w:pPr>
        <w:pStyle w:val="30"/>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 xml:space="preserve"> 所有工单详情</w:t>
      </w:r>
    </w:p>
    <w:p w14:paraId="0958DF84">
      <w:pPr>
        <w:pStyle w:val="30"/>
        <w:ind w:left="0" w:leftChars="0" w:right="0" w:rightChars="0" w:firstLine="0" w:firstLineChars="0"/>
        <w:jc w:val="center"/>
      </w:pPr>
      <w:r>
        <w:drawing>
          <wp:inline distT="0" distB="0" distL="114300" distR="114300">
            <wp:extent cx="5261610" cy="1824355"/>
            <wp:effectExtent l="0" t="0" r="11430" b="444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4"/>
                    <a:stretch>
                      <a:fillRect/>
                    </a:stretch>
                  </pic:blipFill>
                  <pic:spPr>
                    <a:xfrm>
                      <a:off x="0" y="0"/>
                      <a:ext cx="5261610" cy="1824355"/>
                    </a:xfrm>
                    <a:prstGeom prst="rect">
                      <a:avLst/>
                    </a:prstGeom>
                    <a:noFill/>
                    <a:ln>
                      <a:noFill/>
                    </a:ln>
                  </pic:spPr>
                </pic:pic>
              </a:graphicData>
            </a:graphic>
          </wp:inline>
        </w:drawing>
      </w:r>
    </w:p>
    <w:p w14:paraId="3A24FEC2">
      <w:pPr>
        <w:pStyle w:val="30"/>
        <w:ind w:left="0" w:leftChars="0" w:right="0" w:rightChars="0" w:firstLine="0" w:firstLineChars="0"/>
        <w:jc w:val="center"/>
      </w:pPr>
      <w:r>
        <w:drawing>
          <wp:inline distT="0" distB="0" distL="114300" distR="114300">
            <wp:extent cx="5270500" cy="2451100"/>
            <wp:effectExtent l="0" t="0" r="2540" b="254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5"/>
                    <a:stretch>
                      <a:fillRect/>
                    </a:stretch>
                  </pic:blipFill>
                  <pic:spPr>
                    <a:xfrm>
                      <a:off x="0" y="0"/>
                      <a:ext cx="5270500" cy="2451100"/>
                    </a:xfrm>
                    <a:prstGeom prst="rect">
                      <a:avLst/>
                    </a:prstGeom>
                    <a:noFill/>
                    <a:ln>
                      <a:noFill/>
                    </a:ln>
                  </pic:spPr>
                </pic:pic>
              </a:graphicData>
            </a:graphic>
          </wp:inline>
        </w:drawing>
      </w:r>
    </w:p>
    <w:p w14:paraId="41E01A43">
      <w:pPr>
        <w:pStyle w:val="30"/>
        <w:bidi w:val="0"/>
      </w:pPr>
      <w:r>
        <w:t>已办工单功能，是用户个人处理完成的工单历史档案库。支持通过时间、工单号等多维度条件进行筛选与查询，便于对过往工作进行追溯复核、数据统计及经验归档，并为服务闭环与质量分析提供数据基础。</w:t>
      </w:r>
    </w:p>
    <w:p w14:paraId="4E2958E4">
      <w:pPr>
        <w:pStyle w:val="30"/>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lang w:val="en-US" w:eastAsia="zh-CN"/>
        </w:rPr>
        <w:t xml:space="preserve"> 已办工单</w:t>
      </w:r>
    </w:p>
    <w:p w14:paraId="7070F1DA">
      <w:pPr>
        <w:pStyle w:val="30"/>
        <w:ind w:left="0" w:leftChars="0" w:right="0" w:rightChars="0" w:firstLine="0" w:firstLineChars="0"/>
        <w:jc w:val="center"/>
        <w:rPr>
          <w:rFonts w:hint="default"/>
          <w:lang w:val="en-US" w:eastAsia="zh-CN"/>
        </w:rPr>
      </w:pPr>
      <w:r>
        <w:drawing>
          <wp:inline distT="0" distB="0" distL="114300" distR="114300">
            <wp:extent cx="5268595" cy="2881630"/>
            <wp:effectExtent l="0" t="0" r="4445" b="13970"/>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6"/>
                    <a:stretch>
                      <a:fillRect/>
                    </a:stretch>
                  </pic:blipFill>
                  <pic:spPr>
                    <a:xfrm>
                      <a:off x="0" y="0"/>
                      <a:ext cx="5268595" cy="2881630"/>
                    </a:xfrm>
                    <a:prstGeom prst="rect">
                      <a:avLst/>
                    </a:prstGeom>
                    <a:noFill/>
                    <a:ln>
                      <a:noFill/>
                    </a:ln>
                  </pic:spPr>
                </pic:pic>
              </a:graphicData>
            </a:graphic>
          </wp:inline>
        </w:drawing>
      </w:r>
    </w:p>
    <w:p w14:paraId="5E12C72C">
      <w:pPr>
        <w:pStyle w:val="30"/>
        <w:bidi w:val="0"/>
      </w:pPr>
      <w:r>
        <w:t>多维度满意度调查功能支持在工单办结后，自动或手动向发起方发起满意度评价收集。系统可根据工单所属省份、客户类型等维度对评价结果进行自动归类与统计分析，为服务质量评估、区域服务改进及差异化客户服务策略制定提供数据洞察。</w:t>
      </w:r>
    </w:p>
    <w:p w14:paraId="5AF72760">
      <w:pPr>
        <w:pStyle w:val="30"/>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 xml:space="preserve"> 满意度报表</w:t>
      </w:r>
    </w:p>
    <w:p w14:paraId="59A72935">
      <w:pPr>
        <w:pStyle w:val="30"/>
        <w:bidi w:val="0"/>
      </w:pPr>
      <w:r>
        <w:drawing>
          <wp:inline distT="0" distB="0" distL="114300" distR="114300">
            <wp:extent cx="5272405" cy="2857500"/>
            <wp:effectExtent l="0" t="0" r="635" b="7620"/>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17"/>
                    <a:stretch>
                      <a:fillRect/>
                    </a:stretch>
                  </pic:blipFill>
                  <pic:spPr>
                    <a:xfrm>
                      <a:off x="0" y="0"/>
                      <a:ext cx="5272405" cy="2857500"/>
                    </a:xfrm>
                    <a:prstGeom prst="rect">
                      <a:avLst/>
                    </a:prstGeom>
                    <a:noFill/>
                    <a:ln>
                      <a:noFill/>
                    </a:ln>
                  </pic:spPr>
                </pic:pic>
              </a:graphicData>
            </a:graphic>
          </wp:inline>
        </w:drawing>
      </w:r>
    </w:p>
    <w:p w14:paraId="29F09F02">
      <w:pPr>
        <w:pStyle w:val="30"/>
        <w:bidi w:val="0"/>
      </w:pPr>
      <w:r>
        <w:t>“最新公告”功能是一个集中的企业信息发布与管理平台，用于向系统内用户同步重要的通知、规范、模板更新及管理决策。该功能支持按公告类型、等级进行归类，并标记用户的阅读状态，确保关键信息能够及时、准确、分层地触达相关全员，是企业内部信息流转与合规管理的重要支撑模块。</w:t>
      </w:r>
    </w:p>
    <w:p w14:paraId="7AF62980">
      <w:pPr>
        <w:pStyle w:val="30"/>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r>
        <w:rPr>
          <w:rFonts w:hint="eastAsia"/>
          <w:lang w:val="en-US" w:eastAsia="zh-CN"/>
        </w:rPr>
        <w:t xml:space="preserve"> 最新公告</w:t>
      </w:r>
    </w:p>
    <w:p w14:paraId="46722A73">
      <w:pPr>
        <w:pStyle w:val="30"/>
        <w:bidi w:val="0"/>
        <w:ind w:left="0" w:leftChars="0" w:right="0" w:rightChars="0" w:firstLine="0" w:firstLineChars="0"/>
        <w:jc w:val="center"/>
      </w:pPr>
      <w:r>
        <w:drawing>
          <wp:inline distT="0" distB="0" distL="114300" distR="114300">
            <wp:extent cx="5268595" cy="2834640"/>
            <wp:effectExtent l="0" t="0" r="4445" b="0"/>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18"/>
                    <a:stretch>
                      <a:fillRect/>
                    </a:stretch>
                  </pic:blipFill>
                  <pic:spPr>
                    <a:xfrm>
                      <a:off x="0" y="0"/>
                      <a:ext cx="5268595" cy="2834640"/>
                    </a:xfrm>
                    <a:prstGeom prst="rect">
                      <a:avLst/>
                    </a:prstGeom>
                    <a:noFill/>
                    <a:ln>
                      <a:noFill/>
                    </a:ln>
                  </pic:spPr>
                </pic:pic>
              </a:graphicData>
            </a:graphic>
          </wp:inline>
        </w:drawing>
      </w:r>
    </w:p>
    <w:p w14:paraId="182F0285">
      <w:pPr>
        <w:pStyle w:val="30"/>
        <w:bidi w:val="0"/>
        <w:rPr>
          <w:rFonts w:hint="default"/>
        </w:rPr>
      </w:pPr>
      <w:r>
        <w:t>作为企业级数据库运维入口，该平台实现了对数据变更操作（DML/DDL）的</w:t>
      </w:r>
      <w:r>
        <w:rPr>
          <w:rFonts w:hint="default"/>
        </w:rPr>
        <w:t>全流程线上化、标准化与自动化管控，确保所有数据库操作均经过申请、审核、执行与归档的闭环管理。</w:t>
      </w:r>
    </w:p>
    <w:p w14:paraId="4C283302">
      <w:pPr>
        <w:pStyle w:val="30"/>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r>
        <w:rPr>
          <w:rFonts w:hint="eastAsia"/>
          <w:lang w:val="en-US" w:eastAsia="zh-CN"/>
        </w:rPr>
        <w:t xml:space="preserve"> SQL变更管理</w:t>
      </w:r>
    </w:p>
    <w:p w14:paraId="0E13D6C5">
      <w:pPr>
        <w:pStyle w:val="30"/>
        <w:bidi w:val="0"/>
        <w:ind w:left="0" w:leftChars="0" w:right="0" w:rightChars="0" w:firstLine="0" w:firstLineChars="0"/>
        <w:jc w:val="center"/>
        <w:rPr>
          <w:rFonts w:hint="default"/>
          <w:lang w:val="en-US" w:eastAsia="zh-CN"/>
        </w:rPr>
      </w:pPr>
      <w:r>
        <w:drawing>
          <wp:inline distT="0" distB="0" distL="114300" distR="114300">
            <wp:extent cx="5268595" cy="3303270"/>
            <wp:effectExtent l="0" t="0" r="4445" b="3810"/>
            <wp:docPr id="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pic:cNvPicPr>
                      <a:picLocks noChangeAspect="1"/>
                    </pic:cNvPicPr>
                  </pic:nvPicPr>
                  <pic:blipFill>
                    <a:blip r:embed="rId19"/>
                    <a:stretch>
                      <a:fillRect/>
                    </a:stretch>
                  </pic:blipFill>
                  <pic:spPr>
                    <a:xfrm>
                      <a:off x="0" y="0"/>
                      <a:ext cx="5268595" cy="3303270"/>
                    </a:xfrm>
                    <a:prstGeom prst="rect">
                      <a:avLst/>
                    </a:prstGeom>
                    <a:noFill/>
                    <a:ln>
                      <a:noFill/>
                    </a:ln>
                  </pic:spPr>
                </pic:pic>
              </a:graphicData>
            </a:graphic>
          </wp:inline>
        </w:drawing>
      </w:r>
    </w:p>
    <w:p w14:paraId="07D47CF3">
      <w:pPr>
        <w:pStyle w:val="31"/>
        <w:bidi w:val="0"/>
        <w:rPr>
          <w:rFonts w:hint="default"/>
          <w:lang w:val="en-US" w:eastAsia="zh-CN"/>
        </w:rPr>
      </w:pPr>
      <w:bookmarkStart w:id="8" w:name="_Toc7642"/>
      <w:r>
        <w:rPr>
          <w:rFonts w:hint="eastAsia"/>
          <w:lang w:val="en-US" w:eastAsia="zh-CN"/>
        </w:rPr>
        <w:t>监控工具</w:t>
      </w:r>
      <w:bookmarkEnd w:id="8"/>
    </w:p>
    <w:p w14:paraId="0DC9F72F">
      <w:pPr>
        <w:pStyle w:val="32"/>
        <w:bidi w:val="0"/>
        <w:rPr>
          <w:rFonts w:hint="eastAsia"/>
          <w:lang w:val="en-US" w:eastAsia="zh-CN"/>
        </w:rPr>
      </w:pPr>
      <w:bookmarkStart w:id="9" w:name="_Toc19708"/>
      <w:r>
        <w:rPr>
          <w:rFonts w:hint="eastAsia"/>
          <w:lang w:val="en-US" w:eastAsia="zh-CN"/>
        </w:rPr>
        <w:t>软件名称</w:t>
      </w:r>
      <w:bookmarkEnd w:id="9"/>
    </w:p>
    <w:p w14:paraId="5E9DD39B">
      <w:pPr>
        <w:pStyle w:val="30"/>
        <w:rPr>
          <w:rFonts w:hint="default"/>
          <w:lang w:val="en-US" w:eastAsia="zh-CN"/>
        </w:rPr>
      </w:pPr>
      <w:r>
        <w:rPr>
          <w:rFonts w:hint="eastAsia"/>
          <w:lang w:val="en-US" w:eastAsia="zh-CN"/>
        </w:rPr>
        <w:t>运维安全与数据库审计管控平台</w:t>
      </w:r>
    </w:p>
    <w:p w14:paraId="7220DC97">
      <w:pPr>
        <w:pStyle w:val="32"/>
        <w:bidi w:val="0"/>
        <w:rPr>
          <w:rFonts w:hint="eastAsia"/>
          <w:lang w:val="en-US" w:eastAsia="zh-CN"/>
        </w:rPr>
      </w:pPr>
      <w:bookmarkStart w:id="10" w:name="_Toc8964"/>
      <w:r>
        <w:rPr>
          <w:rFonts w:hint="eastAsia"/>
          <w:lang w:val="en-US" w:eastAsia="zh-CN"/>
        </w:rPr>
        <w:t>软件来源</w:t>
      </w:r>
      <w:bookmarkEnd w:id="10"/>
    </w:p>
    <w:p w14:paraId="573A966A">
      <w:pPr>
        <w:pStyle w:val="30"/>
        <w:rPr>
          <w:rFonts w:hint="default"/>
          <w:lang w:val="en-US" w:eastAsia="zh-CN"/>
        </w:rPr>
      </w:pPr>
      <w:r>
        <w:rPr>
          <w:rFonts w:hint="eastAsia"/>
          <w:lang w:val="en-US" w:eastAsia="zh-CN"/>
        </w:rPr>
        <w:t>外购</w:t>
      </w:r>
    </w:p>
    <w:p w14:paraId="5BC23A86">
      <w:pPr>
        <w:pStyle w:val="32"/>
        <w:bidi w:val="0"/>
        <w:rPr>
          <w:rFonts w:hint="eastAsia"/>
          <w:lang w:val="en-US" w:eastAsia="zh-CN"/>
        </w:rPr>
      </w:pPr>
      <w:bookmarkStart w:id="11" w:name="_Toc9882"/>
      <w:r>
        <w:rPr>
          <w:rFonts w:hint="eastAsia"/>
          <w:lang w:val="en-US" w:eastAsia="zh-CN"/>
        </w:rPr>
        <w:t>软件特色</w:t>
      </w:r>
      <w:bookmarkEnd w:id="11"/>
    </w:p>
    <w:p w14:paraId="0D46DB34">
      <w:pPr>
        <w:pStyle w:val="3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集成了服务器、</w:t>
      </w:r>
      <w:r>
        <w:rPr>
          <w:rFonts w:hint="eastAsia" w:ascii="宋体" w:hAnsi="宋体" w:eastAsia="宋体" w:cs="宋体"/>
          <w:sz w:val="24"/>
          <w:szCs w:val="24"/>
        </w:rPr>
        <w:t>数据库（RDS）、负载均衡（SLB）、对象存储（OSS）等多种云产品的管理功能，还包含数据管理服务（DMS）、运维审计、监控等模块，能够帮助企业对云计算资源进行集中化、精细化的运营与管理，适用于政务、企业数字化转型等场景</w:t>
      </w:r>
    </w:p>
    <w:p w14:paraId="2405E736">
      <w:pPr>
        <w:pStyle w:val="32"/>
        <w:bidi w:val="0"/>
        <w:rPr>
          <w:rFonts w:hint="eastAsia"/>
          <w:lang w:val="en-US" w:eastAsia="zh-CN"/>
        </w:rPr>
      </w:pPr>
      <w:bookmarkStart w:id="12" w:name="_Toc15101"/>
      <w:r>
        <w:rPr>
          <w:rFonts w:hint="eastAsia"/>
          <w:lang w:val="en-US" w:eastAsia="zh-CN"/>
        </w:rPr>
        <w:t>功能介绍</w:t>
      </w:r>
      <w:bookmarkEnd w:id="12"/>
    </w:p>
    <w:p w14:paraId="036D1723">
      <w:pPr>
        <w:pStyle w:val="30"/>
        <w:ind w:left="0" w:leftChars="0" w:right="0" w:rightChars="0" w:firstLine="0" w:firstLineChars="0"/>
        <w:jc w:val="center"/>
        <w:rPr>
          <w:rFonts w:hint="default"/>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8</w:t>
      </w:r>
      <w:r>
        <w:rPr>
          <w:rFonts w:hint="eastAsia"/>
          <w:lang w:val="en-US" w:eastAsia="zh-CN"/>
        </w:rPr>
        <w:fldChar w:fldCharType="end"/>
      </w:r>
      <w:r>
        <w:rPr>
          <w:rFonts w:hint="eastAsia"/>
          <w:lang w:val="en-US" w:eastAsia="zh-CN"/>
        </w:rPr>
        <w:t xml:space="preserve"> 首页</w:t>
      </w:r>
    </w:p>
    <w:p w14:paraId="2356A45A">
      <w:pPr>
        <w:pStyle w:val="30"/>
        <w:rPr>
          <w:rFonts w:hint="eastAsia"/>
          <w:lang w:val="en-US" w:eastAsia="zh-CN"/>
        </w:rPr>
      </w:pPr>
      <w:r>
        <w:drawing>
          <wp:inline distT="0" distB="0" distL="114300" distR="114300">
            <wp:extent cx="5273040" cy="3369945"/>
            <wp:effectExtent l="0" t="0" r="0" b="13335"/>
            <wp:docPr id="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pic:cNvPicPr>
                      <a:picLocks noChangeAspect="1"/>
                    </pic:cNvPicPr>
                  </pic:nvPicPr>
                  <pic:blipFill>
                    <a:blip r:embed="rId20"/>
                    <a:stretch>
                      <a:fillRect/>
                    </a:stretch>
                  </pic:blipFill>
                  <pic:spPr>
                    <a:xfrm>
                      <a:off x="0" y="0"/>
                      <a:ext cx="5273040" cy="3369945"/>
                    </a:xfrm>
                    <a:prstGeom prst="rect">
                      <a:avLst/>
                    </a:prstGeom>
                    <a:noFill/>
                    <a:ln>
                      <a:noFill/>
                    </a:ln>
                  </pic:spPr>
                </pic:pic>
              </a:graphicData>
            </a:graphic>
          </wp:inline>
        </w:drawing>
      </w:r>
    </w:p>
    <w:p w14:paraId="39B6D168">
      <w:pPr>
        <w:pStyle w:val="30"/>
        <w:bidi w:val="0"/>
      </w:pPr>
      <w:r>
        <w:rPr>
          <w:rFonts w:hint="eastAsia"/>
          <w:lang w:val="en-US" w:eastAsia="zh-CN"/>
        </w:rPr>
        <w:t>通过</w:t>
      </w:r>
      <w:r>
        <w:t>表格汇总各服务的关键运行指标，通过统计集群数、实例总数及健康实例数，直观反映服务部署规模与实时可用性，为运维状态监控与容量评估提供核心数据依据</w:t>
      </w:r>
    </w:p>
    <w:p w14:paraId="0EA05BCA">
      <w:pPr>
        <w:pStyle w:val="30"/>
        <w:ind w:left="0" w:leftChars="0" w:right="0" w:rightChars="0" w:firstLine="0" w:firstLineChars="0"/>
        <w:jc w:val="center"/>
        <w:rPr>
          <w:rFonts w:hint="eastAsia"/>
          <w:lang w:val="en-US" w:eastAsia="zh-CN"/>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9</w:t>
      </w:r>
      <w:r>
        <w:rPr>
          <w:rFonts w:hint="eastAsia"/>
          <w:lang w:val="en-US" w:eastAsia="zh-CN"/>
        </w:rPr>
        <w:fldChar w:fldCharType="end"/>
      </w:r>
      <w:r>
        <w:rPr>
          <w:rFonts w:hint="eastAsia"/>
          <w:lang w:val="en-US" w:eastAsia="zh-CN"/>
        </w:rPr>
        <w:t xml:space="preserve"> 服务实例状态监控表</w:t>
      </w:r>
    </w:p>
    <w:p w14:paraId="0A296518">
      <w:pPr>
        <w:pStyle w:val="30"/>
        <w:ind w:left="0" w:leftChars="0" w:right="0" w:rightChars="0" w:firstLine="0" w:firstLineChars="0"/>
        <w:jc w:val="center"/>
        <w:rPr>
          <w:rFonts w:hint="default"/>
          <w:lang w:val="en-US" w:eastAsia="zh-CN"/>
        </w:rPr>
      </w:pPr>
      <w:r>
        <w:drawing>
          <wp:inline distT="0" distB="0" distL="114300" distR="114300">
            <wp:extent cx="5271135" cy="2764790"/>
            <wp:effectExtent l="0" t="0" r="1905" b="889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21"/>
                    <a:stretch>
                      <a:fillRect/>
                    </a:stretch>
                  </pic:blipFill>
                  <pic:spPr>
                    <a:xfrm>
                      <a:off x="0" y="0"/>
                      <a:ext cx="5271135" cy="2764790"/>
                    </a:xfrm>
                    <a:prstGeom prst="rect">
                      <a:avLst/>
                    </a:prstGeom>
                    <a:noFill/>
                    <a:ln>
                      <a:noFill/>
                    </a:ln>
                  </pic:spPr>
                </pic:pic>
              </a:graphicData>
            </a:graphic>
          </wp:inline>
        </w:drawing>
      </w:r>
    </w:p>
    <w:p w14:paraId="4F67426A">
      <w:pPr>
        <w:pStyle w:val="30"/>
        <w:bidi w:val="0"/>
        <w:rPr>
          <w:rFonts w:hint="default"/>
        </w:rPr>
      </w:pPr>
      <w:r>
        <w:t>通过树状结构直观展示了一次请求在微服务架构中的完整调用路径与层级依赖关系。图中每个节点代表一个服务或组件，节点间的连线表示调用方向，而标注的响应时间</w:t>
      </w:r>
      <w:r>
        <w:rPr>
          <w:rFonts w:hint="eastAsia"/>
          <w:lang w:eastAsia="zh-CN"/>
        </w:rPr>
        <w:t>，</w:t>
      </w:r>
      <w:r>
        <w:rPr>
          <w:rFonts w:hint="default"/>
        </w:rPr>
        <w:t>清晰揭示了请求在每一跳的耗时，从而快速定位性能瓶颈与异常链路，是进行性能分析、故障溯源与架构优化的关键可视化工具。</w:t>
      </w:r>
    </w:p>
    <w:p w14:paraId="6E45204A">
      <w:pPr>
        <w:pStyle w:val="30"/>
        <w:ind w:left="0" w:leftChars="0" w:right="0" w:rightChars="0" w:firstLine="0" w:firstLineChars="0"/>
        <w:jc w:val="center"/>
        <w:rPr>
          <w:rFonts w:hint="default"/>
          <w:lang w:val="en-US"/>
        </w:rPr>
      </w:pPr>
      <w:r>
        <w:rPr>
          <w:rFonts w:hint="eastAsia"/>
          <w:lang w:val="en-US" w:eastAsia="zh-CN"/>
        </w:rPr>
        <w:t xml:space="preserve">图 </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10</w:t>
      </w:r>
      <w:r>
        <w:rPr>
          <w:rFonts w:hint="eastAsia"/>
          <w:lang w:val="en-US" w:eastAsia="zh-CN"/>
        </w:rPr>
        <w:fldChar w:fldCharType="end"/>
      </w:r>
      <w:r>
        <w:rPr>
          <w:rFonts w:hint="eastAsia"/>
          <w:lang w:val="en-US" w:eastAsia="zh-CN"/>
        </w:rPr>
        <w:t xml:space="preserve"> 网络拓扑图</w:t>
      </w:r>
    </w:p>
    <w:p w14:paraId="0671839B">
      <w:pPr>
        <w:pStyle w:val="30"/>
        <w:bidi w:val="0"/>
        <w:ind w:left="0" w:leftChars="0" w:right="0" w:rightChars="0" w:firstLine="0" w:firstLineChars="0"/>
        <w:jc w:val="center"/>
      </w:pPr>
      <w:r>
        <w:drawing>
          <wp:inline distT="0" distB="0" distL="114300" distR="114300">
            <wp:extent cx="5271770" cy="3198495"/>
            <wp:effectExtent l="0" t="0" r="1270" b="1905"/>
            <wp:docPr id="2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1"/>
                    <pic:cNvPicPr>
                      <a:picLocks noChangeAspect="1"/>
                    </pic:cNvPicPr>
                  </pic:nvPicPr>
                  <pic:blipFill>
                    <a:blip r:embed="rId22"/>
                    <a:stretch>
                      <a:fillRect/>
                    </a:stretch>
                  </pic:blipFill>
                  <pic:spPr>
                    <a:xfrm>
                      <a:off x="0" y="0"/>
                      <a:ext cx="5271770" cy="3198495"/>
                    </a:xfrm>
                    <a:prstGeom prst="rect">
                      <a:avLst/>
                    </a:prstGeom>
                    <a:noFill/>
                    <a:ln>
                      <a:noFill/>
                    </a:ln>
                  </pic:spPr>
                </pic:pic>
              </a:graphicData>
            </a:graphic>
          </wp:inline>
        </w:drawing>
      </w:r>
    </w:p>
    <w:p w14:paraId="467B1622">
      <w:pPr>
        <w:pStyle w:val="31"/>
        <w:bidi w:val="0"/>
        <w:rPr>
          <w:rFonts w:hint="default"/>
          <w:lang w:val="en-US" w:eastAsia="zh-CN"/>
        </w:rPr>
      </w:pPr>
      <w:r>
        <w:rPr>
          <w:rFonts w:hint="eastAsia"/>
          <w:lang w:val="en-US" w:eastAsia="zh-CN"/>
        </w:rPr>
        <w:t>运维工具应用情况效果</w:t>
      </w:r>
    </w:p>
    <w:p w14:paraId="441AB926">
      <w:pPr>
        <w:pStyle w:val="30"/>
        <w:rPr>
          <w:rFonts w:hint="default"/>
          <w:lang w:val="en-US" w:eastAsia="zh-CN"/>
        </w:rPr>
      </w:pPr>
      <w:r>
        <w:rPr>
          <w:rFonts w:hint="default"/>
          <w:lang w:val="en-US" w:eastAsia="zh-CN"/>
        </w:rPr>
        <w:t>在运维项目中，运维工具与监控工具的集成应用，构建了“监、管、控、析”一体化的自动化运营体系，取得了显著成效：</w:t>
      </w:r>
    </w:p>
    <w:p w14:paraId="17E9F241">
      <w:pPr>
        <w:pStyle w:val="30"/>
        <w:rPr>
          <w:rFonts w:hint="default"/>
          <w:lang w:val="en-US" w:eastAsia="zh-CN"/>
        </w:rPr>
      </w:pPr>
      <w:r>
        <w:rPr>
          <w:rFonts w:hint="default"/>
          <w:lang w:val="en-US" w:eastAsia="zh-CN"/>
        </w:rPr>
        <w:t>通过统一的工单流程平台，实现了从需求提出到闭环评价的全流程线上化与标准化，将平均事务处理周期缩短约30%，并依托满意度调查与数据报表，使服务质量和团队绩效可量化、可优化。</w:t>
      </w:r>
    </w:p>
    <w:p w14:paraId="074684CA">
      <w:pPr>
        <w:pStyle w:val="30"/>
        <w:rPr>
          <w:rFonts w:hint="default"/>
          <w:lang w:val="en-US" w:eastAsia="zh-CN"/>
        </w:rPr>
      </w:pPr>
      <w:r>
        <w:rPr>
          <w:rFonts w:hint="default"/>
          <w:lang w:val="en-US" w:eastAsia="zh-CN"/>
        </w:rPr>
        <w:t>借助立体化监控工具链，实现了对微服务架构下数千实例的健康状态、性能指标与调用链路的实时可视与智能预警，使潜在故障的平均发现时间（MTTD）大幅提前，有效保障了核心业务系统的高可用性。</w:t>
      </w:r>
    </w:p>
    <w:p w14:paraId="2C36CD09">
      <w:pPr>
        <w:pStyle w:val="30"/>
        <w:rPr>
          <w:rFonts w:hint="default"/>
          <w:lang w:val="en-US" w:eastAsia="zh-CN"/>
        </w:rPr>
      </w:pPr>
      <w:r>
        <w:rPr>
          <w:rFonts w:hint="default"/>
          <w:lang w:val="en-US" w:eastAsia="zh-CN"/>
        </w:rPr>
        <w:t>同时，通过集成SQL审核与数据库管控平台，将所有线上数据变更纳入规范化流程，实现了操作可审计、变更可回溯与风险可防控，从源头杜绝了因误操作引发的数据安全事故，系统稳定性与数据合规性得到根本性提升。</w:t>
      </w:r>
    </w:p>
    <w:p w14:paraId="0354BE31">
      <w:pPr>
        <w:pStyle w:val="30"/>
        <w:rPr>
          <w:rFonts w:hint="default"/>
          <w:lang w:val="en-US" w:eastAsia="zh-CN"/>
        </w:rPr>
      </w:pPr>
      <w:r>
        <w:rPr>
          <w:rFonts w:hint="default"/>
          <w:lang w:val="en-US" w:eastAsia="zh-CN"/>
        </w:rPr>
        <w:t>整体而言，该工具体系不仅提升了运维响应效率与故障处置能力，更推动了运维模式从事后救火向事前预防、事中可控的智能化运营转型。</w:t>
      </w:r>
      <w:bookmarkStart w:id="13" w:name="_GoBack"/>
      <w:bookmarkEnd w:id="13"/>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A8AAFA">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江西通信产业服务有限公司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213CF6"/>
    <w:rsid w:val="022D1F39"/>
    <w:rsid w:val="05A86320"/>
    <w:rsid w:val="05E27A84"/>
    <w:rsid w:val="075D2207"/>
    <w:rsid w:val="0F1D1B2D"/>
    <w:rsid w:val="0F1F150D"/>
    <w:rsid w:val="0FCC70AF"/>
    <w:rsid w:val="10D31991"/>
    <w:rsid w:val="10E034F7"/>
    <w:rsid w:val="11AA3420"/>
    <w:rsid w:val="11C40985"/>
    <w:rsid w:val="135D699C"/>
    <w:rsid w:val="166242C9"/>
    <w:rsid w:val="1E3C1BDD"/>
    <w:rsid w:val="1E667727"/>
    <w:rsid w:val="2058313A"/>
    <w:rsid w:val="239F4588"/>
    <w:rsid w:val="26013AFE"/>
    <w:rsid w:val="289742A6"/>
    <w:rsid w:val="2C9F3729"/>
    <w:rsid w:val="2D7B7CF2"/>
    <w:rsid w:val="2E4B3B69"/>
    <w:rsid w:val="2F0C2E61"/>
    <w:rsid w:val="330A7698"/>
    <w:rsid w:val="36912277"/>
    <w:rsid w:val="3894435E"/>
    <w:rsid w:val="3A361B71"/>
    <w:rsid w:val="3B9603ED"/>
    <w:rsid w:val="3C81109D"/>
    <w:rsid w:val="3DDD67A7"/>
    <w:rsid w:val="3E9C27EC"/>
    <w:rsid w:val="41F85FC5"/>
    <w:rsid w:val="43170066"/>
    <w:rsid w:val="444E3F5B"/>
    <w:rsid w:val="447317C0"/>
    <w:rsid w:val="484E10AB"/>
    <w:rsid w:val="486024AF"/>
    <w:rsid w:val="4A6A4E7B"/>
    <w:rsid w:val="4AE141D1"/>
    <w:rsid w:val="4C06284D"/>
    <w:rsid w:val="4ED27537"/>
    <w:rsid w:val="51952A42"/>
    <w:rsid w:val="522B768A"/>
    <w:rsid w:val="538A5CD0"/>
    <w:rsid w:val="53A047A1"/>
    <w:rsid w:val="54365683"/>
    <w:rsid w:val="558B76CD"/>
    <w:rsid w:val="56E334E3"/>
    <w:rsid w:val="574D3BFE"/>
    <w:rsid w:val="596404E6"/>
    <w:rsid w:val="59B25DD6"/>
    <w:rsid w:val="59C77BB1"/>
    <w:rsid w:val="5AF04C1B"/>
    <w:rsid w:val="5D861C18"/>
    <w:rsid w:val="5EAE58CA"/>
    <w:rsid w:val="60163727"/>
    <w:rsid w:val="618B5A4F"/>
    <w:rsid w:val="62487121"/>
    <w:rsid w:val="626F35C2"/>
    <w:rsid w:val="62CE6FEA"/>
    <w:rsid w:val="64553D25"/>
    <w:rsid w:val="65F77B57"/>
    <w:rsid w:val="66E14363"/>
    <w:rsid w:val="69C76017"/>
    <w:rsid w:val="69E47E59"/>
    <w:rsid w:val="6A4E3ABD"/>
    <w:rsid w:val="6E1868BC"/>
    <w:rsid w:val="70835F46"/>
    <w:rsid w:val="740019DC"/>
    <w:rsid w:val="763000A3"/>
    <w:rsid w:val="78FD7415"/>
    <w:rsid w:val="7CA96D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TML Code"/>
    <w:basedOn w:val="22"/>
    <w:uiPriority w:val="0"/>
    <w:rPr>
      <w:rFonts w:ascii="Courier New" w:hAnsi="Courier New"/>
      <w:sz w:val="20"/>
    </w:rPr>
  </w:style>
  <w:style w:type="paragraph" w:customStyle="1" w:styleId="25">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6">
    <w:name w:val="柴_文档名"/>
    <w:basedOn w:val="19"/>
    <w:qFormat/>
    <w:uiPriority w:val="0"/>
    <w:pPr>
      <w:spacing w:after="900" w:afterLines="900"/>
    </w:pPr>
    <w:rPr>
      <w:rFonts w:ascii="黑体" w:hAnsi="黑体" w:eastAsia="黑体" w:cs="黑体"/>
      <w:bCs/>
      <w:spacing w:val="-7"/>
      <w:sz w:val="52"/>
      <w:szCs w:val="52"/>
    </w:rPr>
  </w:style>
  <w:style w:type="table" w:customStyle="1" w:styleId="27">
    <w:name w:val="Table Normal_0"/>
    <w:semiHidden/>
    <w:unhideWhenUsed/>
    <w:qFormat/>
    <w:uiPriority w:val="0"/>
    <w:tblPr>
      <w:tblCellMar>
        <w:top w:w="0" w:type="dxa"/>
        <w:left w:w="0" w:type="dxa"/>
        <w:bottom w:w="0" w:type="dxa"/>
        <w:right w:w="0" w:type="dxa"/>
      </w:tblCellMar>
    </w:tbl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39"/>
    <w:qFormat/>
    <w:uiPriority w:val="0"/>
    <w:pPr>
      <w:spacing w:before="100" w:after="90" w:line="360" w:lineRule="auto"/>
    </w:pPr>
    <w:rPr>
      <w:rFonts w:ascii="Arial" w:hAnsi="Arial" w:eastAsia="宋体"/>
      <w:sz w:val="32"/>
    </w:rPr>
  </w:style>
  <w:style w:type="paragraph" w:customStyle="1" w:styleId="30">
    <w:name w:val="柴_正文"/>
    <w:basedOn w:val="12"/>
    <w:link w:val="43"/>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WPSOffice手动目录 1"/>
    <w:qFormat/>
    <w:uiPriority w:val="0"/>
    <w:pPr>
      <w:ind w:leftChars="0"/>
    </w:pPr>
    <w:rPr>
      <w:rFonts w:ascii="Times New Roman" w:hAnsi="Times New Roman" w:eastAsia="宋体" w:cs="Times New Roman"/>
      <w:sz w:val="20"/>
      <w:szCs w:val="20"/>
    </w:rPr>
  </w:style>
  <w:style w:type="paragraph" w:customStyle="1" w:styleId="35">
    <w:name w:val="WPSOffice手动目录 2"/>
    <w:qFormat/>
    <w:uiPriority w:val="0"/>
    <w:pPr>
      <w:ind w:leftChars="200"/>
    </w:pPr>
    <w:rPr>
      <w:rFonts w:ascii="Times New Roman" w:hAnsi="Times New Roman" w:eastAsia="宋体" w:cs="Times New Roman"/>
      <w:sz w:val="20"/>
      <w:szCs w:val="20"/>
    </w:rPr>
  </w:style>
  <w:style w:type="paragraph" w:customStyle="1" w:styleId="36">
    <w:name w:val="WPSOffice手动目录 3"/>
    <w:qFormat/>
    <w:uiPriority w:val="0"/>
    <w:pPr>
      <w:ind w:leftChars="400"/>
    </w:pPr>
    <w:rPr>
      <w:rFonts w:ascii="Times New Roman" w:hAnsi="Times New Roman" w:eastAsia="宋体" w:cs="Times New Roman"/>
      <w:sz w:val="20"/>
      <w:szCs w:val="20"/>
    </w:rPr>
  </w:style>
  <w:style w:type="paragraph" w:customStyle="1" w:styleId="37">
    <w:name w:val="Compact"/>
    <w:basedOn w:val="12"/>
    <w:qFormat/>
    <w:uiPriority w:val="0"/>
    <w:pPr>
      <w:spacing w:before="36" w:after="36"/>
    </w:pPr>
  </w:style>
  <w:style w:type="table" w:customStyle="1" w:styleId="38">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9">
    <w:name w:val="柴_标题1 Char"/>
    <w:link w:val="29"/>
    <w:qFormat/>
    <w:uiPriority w:val="0"/>
    <w:rPr>
      <w:rFonts w:ascii="Arial" w:hAnsi="Arial" w:eastAsia="宋体"/>
      <w:sz w:val="32"/>
    </w:rPr>
  </w:style>
  <w:style w:type="table" w:customStyle="1" w:styleId="40">
    <w:name w:val="Table Normal_1"/>
    <w:semiHidden/>
    <w:unhideWhenUsed/>
    <w:qFormat/>
    <w:uiPriority w:val="0"/>
    <w:tblPr>
      <w:tblCellMar>
        <w:top w:w="0" w:type="dxa"/>
        <w:left w:w="0" w:type="dxa"/>
        <w:bottom w:w="0" w:type="dxa"/>
        <w:right w:w="0" w:type="dxa"/>
      </w:tblCellMar>
    </w:tblPr>
  </w:style>
  <w:style w:type="paragraph" w:customStyle="1" w:styleId="41">
    <w:name w:val="柴_正文_无缩进"/>
    <w:basedOn w:val="1"/>
    <w:qFormat/>
    <w:uiPriority w:val="0"/>
    <w:pPr>
      <w:ind w:firstLine="0" w:firstLineChars="0"/>
    </w:pPr>
    <w:rPr>
      <w:rFonts w:ascii="Arial" w:hAnsi="Arial"/>
      <w:sz w:val="24"/>
      <w:lang w:eastAsia="zh-CN"/>
    </w:rPr>
  </w:style>
  <w:style w:type="paragraph" w:customStyle="1" w:styleId="42">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3">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4013</Words>
  <Characters>4447</Characters>
  <Lines>0</Lines>
  <Paragraphs>0</Paragraphs>
  <TotalTime>8</TotalTime>
  <ScaleCrop>false</ScaleCrop>
  <LinksUpToDate>false</LinksUpToDate>
  <CharactersWithSpaces>4573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2026-01-23T16:28:17Z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