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521E39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4894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10803609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4725"/>
      <w:r>
        <w:rPr>
          <w:rFonts w:hint="eastAsia"/>
          <w:lang w:val="en-US" w:eastAsia="zh-CN"/>
        </w:rPr>
        <w:t>运维服务工具自评估报告</w:t>
      </w:r>
      <w:bookmarkEnd w:id="1"/>
    </w:p>
    <w:p w14:paraId="12F20FE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0AD80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7E78EA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320F9C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2025.11.20</w:t>
            </w:r>
          </w:p>
        </w:tc>
      </w:tr>
      <w:tr w14:paraId="2C6F5A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09261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7FC739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2025.11.20</w:t>
            </w:r>
          </w:p>
        </w:tc>
      </w:tr>
      <w:tr w14:paraId="7A1F36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476385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341ED4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2025.11.20</w:t>
            </w:r>
          </w:p>
        </w:tc>
      </w:tr>
    </w:tbl>
    <w:p w14:paraId="2589FB9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75BB159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388346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0E7728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A6D79F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_Toc14894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_Toc14894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3F3E8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_Toc4725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运维服务工具自评估报告</w:t>
          </w:r>
          <w:r>
            <w:tab/>
          </w:r>
          <w:r>
            <w:fldChar w:fldCharType="begin"/>
          </w:r>
          <w:r>
            <w:instrText xml:space="preserve"> PAGEREF _Toc4725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A10F6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ascii="宋体" w:hAnsi="宋体" w:eastAsia="宋体" w:cs="宋体"/>
              <w:szCs w:val="24"/>
            </w:rPr>
            <w:t xml:space="preserve">1. </w:t>
          </w:r>
          <w:r>
            <w:rPr>
              <w:rFonts w:hint="eastAsia" w:ascii="宋体" w:hAnsi="宋体" w:eastAsia="宋体" w:cs="宋体"/>
              <w:szCs w:val="24"/>
            </w:rPr>
            <w:t>过程管理工具</w:t>
          </w:r>
          <w:r>
            <w:tab/>
          </w:r>
          <w:r>
            <w:fldChar w:fldCharType="begin"/>
          </w:r>
          <w:r>
            <w:instrText xml:space="preserve"> PAGEREF _Toc21293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E9677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_Toc25739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ascii="宋体" w:hAnsi="宋体" w:eastAsia="宋体" w:cs="宋体"/>
              <w:szCs w:val="24"/>
            </w:rPr>
            <w:t xml:space="preserve">2. </w:t>
          </w:r>
          <w:r>
            <w:rPr>
              <w:rFonts w:hint="eastAsia" w:ascii="宋体" w:hAnsi="宋体" w:eastAsia="宋体" w:cs="宋体"/>
              <w:szCs w:val="24"/>
            </w:rPr>
            <w:t>监控工具</w:t>
          </w:r>
          <w:r>
            <w:tab/>
          </w:r>
          <w:r>
            <w:fldChar w:fldCharType="begin"/>
          </w:r>
          <w:r>
            <w:instrText xml:space="preserve"> PAGEREF _Toc25739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23D4C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4CD67A5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headerReference r:id="rId5" w:type="default"/>
          <w:pgSz w:w="11906" w:h="16838"/>
          <w:pgMar w:top="1417" w:right="1800" w:bottom="1440" w:left="1800" w:header="1140" w:footer="992" w:gutter="0"/>
          <w:cols w:space="425" w:num="1"/>
          <w:docGrid w:type="lines" w:linePitch="312" w:charSpace="0"/>
        </w:sect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  <w:bookmarkStart w:id="4" w:name="_GoBack"/>
      <w:bookmarkEnd w:id="4"/>
    </w:p>
    <w:tbl>
      <w:tblPr>
        <w:tblStyle w:val="26"/>
        <w:tblW w:w="1452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5"/>
        <w:gridCol w:w="1307"/>
        <w:gridCol w:w="2874"/>
        <w:gridCol w:w="2543"/>
        <w:gridCol w:w="1986"/>
        <w:gridCol w:w="3196"/>
        <w:gridCol w:w="1343"/>
      </w:tblGrid>
      <w:tr w14:paraId="147470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1" w:hRule="atLeast"/>
        </w:trPr>
        <w:tc>
          <w:tcPr>
            <w:tcW w:w="1275" w:type="dxa"/>
            <w:shd w:val="clear" w:color="auto" w:fill="E5E5E5"/>
          </w:tcPr>
          <w:p w14:paraId="252529DE">
            <w:pPr>
              <w:spacing w:before="215" w:line="289" w:lineRule="auto"/>
              <w:ind w:left="538" w:right="110" w:hanging="42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运维工具分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类</w:t>
            </w:r>
          </w:p>
        </w:tc>
        <w:tc>
          <w:tcPr>
            <w:tcW w:w="1307" w:type="dxa"/>
            <w:shd w:val="clear" w:color="auto" w:fill="E5E5E5"/>
          </w:tcPr>
          <w:p w14:paraId="6C22D823">
            <w:pPr>
              <w:pStyle w:val="27"/>
              <w:spacing w:line="303" w:lineRule="auto"/>
            </w:pPr>
          </w:p>
          <w:p w14:paraId="4FDDB876">
            <w:pPr>
              <w:spacing w:before="65" w:line="229" w:lineRule="auto"/>
              <w:ind w:left="23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</w:rPr>
              <w:t>工具名称</w:t>
            </w:r>
          </w:p>
        </w:tc>
        <w:tc>
          <w:tcPr>
            <w:tcW w:w="2874" w:type="dxa"/>
            <w:shd w:val="clear" w:color="auto" w:fill="E5E5E5"/>
          </w:tcPr>
          <w:p w14:paraId="3A176312">
            <w:pPr>
              <w:spacing w:before="214" w:line="229" w:lineRule="auto"/>
              <w:ind w:left="52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主要功能</w:t>
            </w:r>
          </w:p>
          <w:p w14:paraId="108A8E38">
            <w:pPr>
              <w:spacing w:before="63" w:line="228" w:lineRule="auto"/>
              <w:ind w:left="12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（关键功能说明）</w:t>
            </w:r>
          </w:p>
        </w:tc>
        <w:tc>
          <w:tcPr>
            <w:tcW w:w="2543" w:type="dxa"/>
            <w:shd w:val="clear" w:color="auto" w:fill="E5E5E5"/>
          </w:tcPr>
          <w:p w14:paraId="19B292DE">
            <w:pPr>
              <w:spacing w:before="214" w:line="228" w:lineRule="auto"/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使用情况说明</w:t>
            </w:r>
          </w:p>
          <w:p w14:paraId="672DB286">
            <w:pPr>
              <w:spacing w:before="214" w:line="228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（工具使用的客户及项目）</w:t>
            </w:r>
          </w:p>
        </w:tc>
        <w:tc>
          <w:tcPr>
            <w:tcW w:w="1986" w:type="dxa"/>
            <w:shd w:val="clear" w:color="auto" w:fill="E5E5E5"/>
          </w:tcPr>
          <w:p w14:paraId="1DC18C44">
            <w:pPr>
              <w:spacing w:before="58" w:line="228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</w:rPr>
              <w:t>工具来源</w:t>
            </w:r>
          </w:p>
          <w:p w14:paraId="4843EE1E">
            <w:pPr>
              <w:spacing w:before="66" w:line="263" w:lineRule="auto"/>
              <w:ind w:right="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（开源工具、</w:t>
            </w:r>
            <w:r>
              <w:rPr>
                <w:rFonts w:ascii="宋体" w:hAnsi="宋体" w:eastAsia="宋体" w:cs="宋体"/>
                <w:spacing w:val="-44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自主</w:t>
            </w: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研发、外购的说明）</w:t>
            </w:r>
          </w:p>
        </w:tc>
        <w:tc>
          <w:tcPr>
            <w:tcW w:w="3196" w:type="dxa"/>
            <w:shd w:val="clear" w:color="auto" w:fill="E5E5E5"/>
          </w:tcPr>
          <w:p w14:paraId="3C810779">
            <w:pPr>
              <w:pStyle w:val="27"/>
              <w:spacing w:line="303" w:lineRule="auto"/>
            </w:pPr>
          </w:p>
          <w:p w14:paraId="0182F29C">
            <w:pPr>
              <w:spacing w:before="65" w:line="226" w:lineRule="auto"/>
              <w:ind w:left="76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7"/>
                <w:sz w:val="20"/>
                <w:szCs w:val="20"/>
              </w:rPr>
              <w:t>使用效果评估意见</w:t>
            </w:r>
          </w:p>
        </w:tc>
        <w:tc>
          <w:tcPr>
            <w:tcW w:w="1343" w:type="dxa"/>
            <w:shd w:val="clear" w:color="auto" w:fill="E5E5E5"/>
          </w:tcPr>
          <w:p w14:paraId="7F146C99">
            <w:pPr>
              <w:spacing w:before="215" w:line="290" w:lineRule="auto"/>
              <w:ind w:left="476" w:right="302" w:hanging="16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评价人/</w:t>
            </w: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时间</w:t>
            </w:r>
          </w:p>
        </w:tc>
      </w:tr>
      <w:tr w14:paraId="546817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72" w:hRule="atLeast"/>
        </w:trPr>
        <w:tc>
          <w:tcPr>
            <w:tcW w:w="1275" w:type="dxa"/>
            <w:vAlign w:val="center"/>
          </w:tcPr>
          <w:p w14:paraId="476BED3F">
            <w:pPr>
              <w:pStyle w:val="2"/>
              <w:bidi w:val="0"/>
              <w:rPr>
                <w:rFonts w:ascii="宋体" w:hAnsi="宋体" w:eastAsia="宋体" w:cs="宋体"/>
                <w:sz w:val="24"/>
                <w:szCs w:val="24"/>
              </w:rPr>
            </w:pPr>
            <w:bookmarkStart w:id="2" w:name="_Toc21293"/>
            <w:r>
              <w:rPr>
                <w:rFonts w:hint="eastAsia" w:ascii="宋体" w:hAnsi="宋体" w:eastAsia="宋体" w:cs="宋体"/>
                <w:sz w:val="24"/>
                <w:szCs w:val="24"/>
              </w:rPr>
              <w:t>过程管理工具</w:t>
            </w:r>
            <w:bookmarkEnd w:id="2"/>
          </w:p>
        </w:tc>
        <w:tc>
          <w:tcPr>
            <w:tcW w:w="1307" w:type="dxa"/>
            <w:vAlign w:val="center"/>
          </w:tcPr>
          <w:p w14:paraId="13E6FE67">
            <w:pPr>
              <w:spacing w:before="12" w:line="234" w:lineRule="auto"/>
              <w:ind w:left="118" w:right="107" w:firstLine="6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通服信息化服务平台</w:t>
            </w:r>
          </w:p>
        </w:tc>
        <w:tc>
          <w:tcPr>
            <w:tcW w:w="2874" w:type="dxa"/>
          </w:tcPr>
          <w:p w14:paraId="696A0875">
            <w:pPr>
              <w:spacing w:before="12" w:line="234" w:lineRule="auto"/>
              <w:ind w:left="118" w:right="107" w:firstLine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集成了工单全生命周期管理、统一服务门户、多系统协同处理与全景数据报表分析四大核心能力。平台构建了从“申告-受理-处理-办结-评价”的完整闭环流程，并融合了公告发布、模板库管理与服务满意度监测等模块，旨在为企业内部用户与运维团队提供标准化、透明化、高效化的统一服务入口与运营支撑。</w:t>
            </w:r>
          </w:p>
        </w:tc>
        <w:tc>
          <w:tcPr>
            <w:tcW w:w="2543" w:type="dxa"/>
            <w:vAlign w:val="center"/>
          </w:tcPr>
          <w:p w14:paraId="28DCA193">
            <w:pPr>
              <w:spacing w:before="12" w:line="234" w:lineRule="auto"/>
              <w:ind w:left="118" w:right="107" w:firstLine="6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晋城市数据局2025大数据应用平台运维服务项目</w:t>
            </w:r>
          </w:p>
          <w:p w14:paraId="7AE27702">
            <w:pPr>
              <w:spacing w:before="12" w:line="234" w:lineRule="auto"/>
              <w:ind w:left="118" w:right="107" w:firstLine="6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产业互联网共享服务平台运维</w:t>
            </w:r>
          </w:p>
        </w:tc>
        <w:tc>
          <w:tcPr>
            <w:tcW w:w="1986" w:type="dxa"/>
            <w:vAlign w:val="center"/>
          </w:tcPr>
          <w:p w14:paraId="2531698C">
            <w:pPr>
              <w:spacing w:before="78" w:line="220" w:lineRule="auto"/>
              <w:ind w:left="56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自研</w:t>
            </w:r>
          </w:p>
        </w:tc>
        <w:tc>
          <w:tcPr>
            <w:tcW w:w="3196" w:type="dxa"/>
          </w:tcPr>
          <w:p w14:paraId="62D98291">
            <w:pPr>
              <w:spacing w:before="12" w:line="234" w:lineRule="auto"/>
              <w:ind w:left="118" w:right="107" w:firstLine="6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系统投入应用后，成功构建了集工单流转、跨系统协同、数据分析和合规审计于一体的智能化运营支撑平台，实现了服务流程全线上化闭环管理、运维资源高效协同与集中调度，并依托实时数据看板与满意度报表驱动运营决策持续优化，全面提升了企业跨地域、多系统运维服务的响应效率、处理质量与安全管控水平</w:t>
            </w: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。</w:t>
            </w:r>
          </w:p>
        </w:tc>
        <w:tc>
          <w:tcPr>
            <w:tcW w:w="1343" w:type="dxa"/>
            <w:vAlign w:val="center"/>
          </w:tcPr>
          <w:p w14:paraId="3B679F6A">
            <w:pPr>
              <w:spacing w:before="26" w:line="239" w:lineRule="auto"/>
              <w:ind w:left="120"/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徐超超</w:t>
            </w:r>
          </w:p>
          <w:p w14:paraId="3F9A3C57">
            <w:pPr>
              <w:spacing w:before="26" w:line="239" w:lineRule="auto"/>
              <w:ind w:left="120"/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2025.11.20</w:t>
            </w:r>
          </w:p>
        </w:tc>
      </w:tr>
      <w:tr w14:paraId="77867B7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9" w:hRule="atLeast"/>
        </w:trPr>
        <w:tc>
          <w:tcPr>
            <w:tcW w:w="1275" w:type="dxa"/>
            <w:vAlign w:val="center"/>
          </w:tcPr>
          <w:p w14:paraId="5494057B">
            <w:pPr>
              <w:pStyle w:val="2"/>
              <w:bidi w:val="0"/>
              <w:rPr>
                <w:rFonts w:ascii="宋体" w:hAnsi="宋体" w:eastAsia="宋体" w:cs="宋体"/>
                <w:sz w:val="24"/>
                <w:szCs w:val="24"/>
              </w:rPr>
            </w:pPr>
            <w:bookmarkStart w:id="3" w:name="_Toc25739"/>
            <w:r>
              <w:rPr>
                <w:rFonts w:hint="eastAsia" w:ascii="宋体" w:hAnsi="宋体" w:eastAsia="宋体" w:cs="宋体"/>
                <w:sz w:val="24"/>
                <w:szCs w:val="24"/>
              </w:rPr>
              <w:t>监控工具</w:t>
            </w:r>
            <w:bookmarkEnd w:id="3"/>
          </w:p>
        </w:tc>
        <w:tc>
          <w:tcPr>
            <w:tcW w:w="1307" w:type="dxa"/>
            <w:vAlign w:val="center"/>
          </w:tcPr>
          <w:p w14:paraId="05D9BC62">
            <w:pPr>
              <w:spacing w:before="12" w:line="234" w:lineRule="auto"/>
              <w:ind w:left="118" w:right="107" w:firstLine="6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运维安全与数据库审计管控平台</w:t>
            </w:r>
          </w:p>
        </w:tc>
        <w:tc>
          <w:tcPr>
            <w:tcW w:w="2874" w:type="dxa"/>
          </w:tcPr>
          <w:p w14:paraId="53E70D43">
            <w:pPr>
              <w:spacing w:before="12" w:line="234" w:lineRule="auto"/>
              <w:ind w:left="118" w:right="107" w:firstLine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集成了服务器、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数据库（RDS）、负载均衡（SLB）、对象存储（OSS）等多种云产品的管理功能，还包含数据管理服务（DMS）、运维审计、监控等模块，能够帮助企业对云计算资源进行集中化、精细化的运营与管理，适用于政务、企业数字化转型等场景</w:t>
            </w:r>
          </w:p>
        </w:tc>
        <w:tc>
          <w:tcPr>
            <w:tcW w:w="2543" w:type="dxa"/>
            <w:vAlign w:val="center"/>
          </w:tcPr>
          <w:p w14:paraId="2BC7EA29">
            <w:pPr>
              <w:spacing w:before="12" w:line="234" w:lineRule="auto"/>
              <w:ind w:left="118" w:right="107" w:firstLine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晋城市数据局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2025大数据应用平台运维服务项目</w:t>
            </w:r>
          </w:p>
          <w:p w14:paraId="3A2ED982">
            <w:pPr>
              <w:spacing w:before="12" w:line="234" w:lineRule="auto"/>
              <w:ind w:left="118" w:right="107" w:firstLine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产业互联网共享服务平台运维</w:t>
            </w:r>
          </w:p>
          <w:p w14:paraId="457171D7">
            <w:pPr>
              <w:spacing w:before="12" w:line="234" w:lineRule="auto"/>
              <w:ind w:left="118" w:right="107" w:firstLine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晋城市产业互联网数字化共享服务平台</w:t>
            </w:r>
          </w:p>
        </w:tc>
        <w:tc>
          <w:tcPr>
            <w:tcW w:w="1986" w:type="dxa"/>
            <w:vAlign w:val="center"/>
          </w:tcPr>
          <w:p w14:paraId="4A7DB490">
            <w:pPr>
              <w:spacing w:before="78" w:line="221" w:lineRule="auto"/>
              <w:ind w:left="521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  <w:t>外购</w:t>
            </w:r>
          </w:p>
        </w:tc>
        <w:tc>
          <w:tcPr>
            <w:tcW w:w="3196" w:type="dxa"/>
          </w:tcPr>
          <w:p w14:paraId="1EB7B4FA">
            <w:pPr>
              <w:spacing w:before="12" w:line="234" w:lineRule="auto"/>
              <w:ind w:left="118" w:right="107" w:firstLine="6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1"/>
                <w:szCs w:val="21"/>
                <w:shd w:val="clear" w:fill="FFFFFF"/>
              </w:rPr>
              <w:t>该监控与治理工具集已全面应用于生产环境，形成了一套覆盖“服务状态-应用性能-安全防护-数据操作”的立体化监控体系。其中，服务网格与实例健康监控实现了微服务运行状态的实时可视与预警；内网安全防护模块常态化保障了终端与连接安全；同时，通过推行统一的MySQL设计规范并集成Archery SQL审核平台，所有数据库变更均实现了线上化、流程化与审计化管控，有效提升了系统稳定性、安全性与运维操作的合规性。</w:t>
            </w:r>
          </w:p>
        </w:tc>
        <w:tc>
          <w:tcPr>
            <w:tcW w:w="1343" w:type="dxa"/>
            <w:vAlign w:val="center"/>
          </w:tcPr>
          <w:p w14:paraId="3A6916EB">
            <w:pPr>
              <w:spacing w:before="26" w:line="239" w:lineRule="auto"/>
              <w:ind w:left="120"/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徐超超</w:t>
            </w:r>
          </w:p>
          <w:p w14:paraId="663B962E">
            <w:pPr>
              <w:spacing w:before="26" w:line="239" w:lineRule="auto"/>
              <w:ind w:left="120"/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2025.11.20</w:t>
            </w:r>
          </w:p>
        </w:tc>
      </w:tr>
    </w:tbl>
    <w:p w14:paraId="4BA75431">
      <w:pPr>
        <w:pStyle w:val="29"/>
        <w:ind w:left="0" w:leftChars="0" w:firstLine="0" w:firstLineChars="0"/>
        <w:rPr>
          <w:rFonts w:hint="default"/>
          <w:lang w:val="en-US" w:eastAsia="zh-CN"/>
        </w:rPr>
      </w:pPr>
    </w:p>
    <w:sectPr>
      <w:pgSz w:w="16838" w:h="11906" w:orient="landscape"/>
      <w:pgMar w:top="1800" w:right="1417" w:bottom="1800" w:left="144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59BC19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3144B8"/>
    <w:rsid w:val="0C6C00A7"/>
    <w:rsid w:val="0CEC743A"/>
    <w:rsid w:val="0F45621F"/>
    <w:rsid w:val="12A12A75"/>
    <w:rsid w:val="1578138A"/>
    <w:rsid w:val="1AD10F75"/>
    <w:rsid w:val="2412732E"/>
    <w:rsid w:val="29F01EC0"/>
    <w:rsid w:val="2B471FB3"/>
    <w:rsid w:val="2DAF2092"/>
    <w:rsid w:val="34EE524E"/>
    <w:rsid w:val="35E774B5"/>
    <w:rsid w:val="35F706EC"/>
    <w:rsid w:val="36922B60"/>
    <w:rsid w:val="39B337F4"/>
    <w:rsid w:val="40D27557"/>
    <w:rsid w:val="4DC23F05"/>
    <w:rsid w:val="51D535C6"/>
    <w:rsid w:val="539B25ED"/>
    <w:rsid w:val="56BB3D47"/>
    <w:rsid w:val="60152EE6"/>
    <w:rsid w:val="60CD6D80"/>
    <w:rsid w:val="66C8504F"/>
    <w:rsid w:val="68BC0BE4"/>
    <w:rsid w:val="6A682DD1"/>
    <w:rsid w:val="6DAB683B"/>
    <w:rsid w:val="6DD35C96"/>
    <w:rsid w:val="6E5E3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1052</Words>
  <Characters>1173</Characters>
  <Lines>0</Lines>
  <Paragraphs>0</Paragraphs>
  <TotalTime>0</TotalTime>
  <ScaleCrop>false</ScaleCrop>
  <LinksUpToDate>false</LinksUpToDate>
  <CharactersWithSpaces>1201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2026-01-23T15:09:51Z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