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190"/>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349"/>
      <w:r>
        <w:rPr>
          <w:rFonts w:hint="eastAsia"/>
          <w:lang w:val="en-US" w:eastAsia="zh-CN"/>
        </w:rPr>
        <w:t>运维服务沟通管理制度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_Toc7190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_Toc7190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_Toc4349 </w:instrText>
          </w:r>
          <w:r>
            <w:rPr>
              <w:rFonts w:ascii="宋体" w:eastAsia="宋体" w:hAnsi="宋体" w:cs="宋体" w:hint="eastAsia"/>
              <w:szCs w:val="24"/>
            </w:rPr>
            <w:fldChar w:fldCharType="separate"/>
          </w:r>
          <w:r>
            <w:rPr>
              <w:rFonts w:hint="eastAsia"/>
              <w:lang w:val="en-US" w:eastAsia="zh-CN"/>
            </w:rPr>
            <w:t>运维服务沟通管理制度</w:t>
          </w:r>
          <w:r>
            <w:tab/>
          </w:r>
          <w:r>
            <w:fldChar w:fldCharType="begin"/>
          </w:r>
          <w:r>
            <w:instrText xml:space="preserve"> PAGEREF _Toc4349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_Toc8616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_Toc8616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_Toc13940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适用范围</w:t>
          </w:r>
          <w:r>
            <w:tab/>
          </w:r>
          <w:r>
            <w:fldChar w:fldCharType="begin"/>
          </w:r>
          <w:r>
            <w:instrText xml:space="preserve"> PAGEREF _Toc13940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_Toc9428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职责</w:t>
          </w:r>
          <w:r>
            <w:tab/>
          </w:r>
          <w:r>
            <w:fldChar w:fldCharType="begin"/>
          </w:r>
          <w:r>
            <w:instrText xml:space="preserve"> PAGEREF _Toc9428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_Toc4056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公司管理层</w:t>
          </w:r>
          <w:r>
            <w:tab/>
          </w:r>
          <w:r>
            <w:fldChar w:fldCharType="begin"/>
          </w:r>
          <w:r>
            <w:instrText xml:space="preserve"> PAGEREF _Toc4056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_Toc14098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质量管理部</w:t>
          </w:r>
          <w:r>
            <w:tab/>
          </w:r>
          <w:r>
            <w:fldChar w:fldCharType="begin"/>
          </w:r>
          <w:r>
            <w:instrText xml:space="preserve"> PAGEREF _Toc14098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_Toc10368 </w:instrText>
          </w:r>
          <w:r>
            <w:rPr>
              <w:rFonts w:ascii="宋体" w:eastAsia="宋体" w:hAnsi="宋体" w:cs="宋体" w:hint="eastAsia"/>
              <w:szCs w:val="24"/>
            </w:rPr>
            <w:fldChar w:fldCharType="separate"/>
          </w:r>
          <w:r>
            <w:rPr>
              <w:rFonts w:hint="default"/>
              <w:lang w:val="en-US" w:eastAsia="zh-CN"/>
            </w:rPr>
            <w:t xml:space="preserve">3.3. </w:t>
          </w:r>
          <w:r>
            <w:rPr>
              <w:rFonts w:hint="eastAsia"/>
              <w:lang w:val="en-US" w:eastAsia="zh-CN"/>
            </w:rPr>
            <w:t>数智运营部</w:t>
          </w:r>
          <w:r>
            <w:tab/>
          </w:r>
          <w:r>
            <w:fldChar w:fldCharType="begin"/>
          </w:r>
          <w:r>
            <w:instrText xml:space="preserve"> PAGEREF _Toc10368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_Toc32536 </w:instrText>
          </w:r>
          <w:r>
            <w:rPr>
              <w:rFonts w:ascii="宋体" w:eastAsia="宋体" w:hAnsi="宋体" w:cs="宋体" w:hint="eastAsia"/>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_Toc32536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_Toc6684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工作程序</w:t>
          </w:r>
          <w:r>
            <w:tab/>
          </w:r>
          <w:r>
            <w:fldChar w:fldCharType="begin"/>
          </w:r>
          <w:r>
            <w:instrText xml:space="preserve"> PAGEREF _Toc6684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_Toc20057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沟通信息内容</w:t>
          </w:r>
          <w:r>
            <w:tab/>
          </w:r>
          <w:r>
            <w:fldChar w:fldCharType="begin"/>
          </w:r>
          <w:r>
            <w:instrText xml:space="preserve"> PAGEREF _Toc20057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_Toc15541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信息的收集、处理与利用</w:t>
          </w:r>
          <w:r>
            <w:tab/>
          </w:r>
          <w:r>
            <w:fldChar w:fldCharType="begin"/>
          </w:r>
          <w:r>
            <w:instrText xml:space="preserve"> PAGEREF _Toc15541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_Toc16282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协商与信息交流方式</w:t>
          </w:r>
          <w:r>
            <w:tab/>
          </w:r>
          <w:r>
            <w:fldChar w:fldCharType="begin"/>
          </w:r>
          <w:r>
            <w:instrText xml:space="preserve"> PAGEREF _Toc16282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_Toc16236 </w:instrText>
          </w:r>
          <w:r>
            <w:rPr>
              <w:rFonts w:ascii="宋体" w:eastAsia="宋体" w:hAnsi="宋体" w:cs="宋体" w:hint="eastAsia"/>
              <w:szCs w:val="24"/>
            </w:rPr>
            <w:fldChar w:fldCharType="separate"/>
          </w:r>
          <w:r>
            <w:rPr>
              <w:rFonts w:hint="default"/>
              <w:lang w:val="en-US" w:eastAsia="zh-CN"/>
            </w:rPr>
            <w:t xml:space="preserve">4.4. </w:t>
          </w:r>
          <w:r>
            <w:rPr>
              <w:rFonts w:hint="eastAsia"/>
              <w:lang w:val="en-US" w:eastAsia="zh-CN"/>
            </w:rPr>
            <w:t>沟通频次</w:t>
          </w:r>
          <w:r>
            <w:tab/>
          </w:r>
          <w:r>
            <w:fldChar w:fldCharType="begin"/>
          </w:r>
          <w:r>
            <w:instrText xml:space="preserve"> PAGEREF _Toc16236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_Toc3871 </w:instrText>
          </w:r>
          <w:r>
            <w:rPr>
              <w:rFonts w:ascii="宋体" w:eastAsia="宋体" w:hAnsi="宋体" w:cs="宋体" w:hint="eastAsia"/>
              <w:szCs w:val="24"/>
            </w:rPr>
            <w:fldChar w:fldCharType="separate"/>
          </w:r>
          <w:r>
            <w:rPr>
              <w:rFonts w:hint="default"/>
              <w:lang w:val="en-US" w:eastAsia="zh-CN"/>
            </w:rPr>
            <w:t xml:space="preserve">4.4.1. </w:t>
          </w:r>
          <w:r>
            <w:rPr>
              <w:rFonts w:hint="eastAsia"/>
              <w:lang w:val="en-US" w:eastAsia="zh-CN"/>
            </w:rPr>
            <w:t>例行沟通</w:t>
          </w:r>
          <w:r>
            <w:tab/>
          </w:r>
          <w:r>
            <w:fldChar w:fldCharType="begin"/>
          </w:r>
          <w:r>
            <w:instrText xml:space="preserve"> PAGEREF _Toc3871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_Toc14460 </w:instrText>
          </w:r>
          <w:r>
            <w:rPr>
              <w:rFonts w:ascii="宋体" w:eastAsia="宋体" w:hAnsi="宋体" w:cs="宋体" w:hint="eastAsia"/>
              <w:szCs w:val="24"/>
            </w:rPr>
            <w:fldChar w:fldCharType="separate"/>
          </w:r>
          <w:r>
            <w:rPr>
              <w:rFonts w:hint="default"/>
              <w:lang w:val="en-US" w:eastAsia="zh-CN"/>
            </w:rPr>
            <w:t xml:space="preserve">4.4.2. </w:t>
          </w:r>
          <w:r>
            <w:rPr>
              <w:rFonts w:hint="eastAsia"/>
              <w:lang w:val="en-US" w:eastAsia="zh-CN"/>
            </w:rPr>
            <w:t>事件驱动沟通</w:t>
          </w:r>
          <w:r>
            <w:tab/>
          </w:r>
          <w:r>
            <w:fldChar w:fldCharType="begin"/>
          </w:r>
          <w:r>
            <w:instrText xml:space="preserve"> PAGEREF _Toc14460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_Toc8501 </w:instrText>
          </w:r>
          <w:r>
            <w:rPr>
              <w:rFonts w:ascii="宋体" w:eastAsia="宋体" w:hAnsi="宋体" w:cs="宋体" w:hint="eastAsia"/>
              <w:szCs w:val="24"/>
            </w:rPr>
            <w:fldChar w:fldCharType="separate"/>
          </w:r>
          <w:r>
            <w:rPr>
              <w:rFonts w:hint="default"/>
              <w:lang w:val="en-US" w:eastAsia="zh-CN"/>
            </w:rPr>
            <w:t xml:space="preserve">4.4.3. </w:t>
          </w:r>
          <w:r>
            <w:rPr>
              <w:rFonts w:hint="eastAsia"/>
              <w:lang w:val="en-US" w:eastAsia="zh-CN"/>
            </w:rPr>
            <w:t>专项沟通</w:t>
          </w:r>
          <w:r>
            <w:tab/>
          </w:r>
          <w:r>
            <w:fldChar w:fldCharType="begin"/>
          </w:r>
          <w:r>
            <w:instrText xml:space="preserve"> PAGEREF _Toc8501 \h </w:instrText>
          </w:r>
          <w:r>
            <w:fldChar w:fldCharType="separate"/>
          </w:r>
          <w:r>
            <w:t>6</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_Toc28172 </w:instrText>
          </w:r>
          <w:r>
            <w:rPr>
              <w:rFonts w:ascii="宋体" w:eastAsia="宋体" w:hAnsi="宋体" w:cs="宋体" w:hint="eastAsia"/>
              <w:szCs w:val="24"/>
            </w:rPr>
            <w:fldChar w:fldCharType="separate"/>
          </w:r>
          <w:r>
            <w:rPr>
              <w:rFonts w:hint="default"/>
              <w:lang w:val="en-US" w:eastAsia="zh-CN"/>
            </w:rPr>
            <w:t xml:space="preserve">4.5. </w:t>
          </w:r>
          <w:r>
            <w:rPr>
              <w:rFonts w:hint="eastAsia"/>
              <w:lang w:val="en-US" w:eastAsia="zh-CN"/>
            </w:rPr>
            <w:t>沟通记录管理</w:t>
          </w:r>
          <w:r>
            <w:tab/>
          </w:r>
          <w:r>
            <w:fldChar w:fldCharType="begin"/>
          </w:r>
          <w:r>
            <w:instrText xml:space="preserve"> PAGEREF _Toc28172 \h </w:instrText>
          </w:r>
          <w:r>
            <w:fldChar w:fldCharType="separate"/>
          </w:r>
          <w:r>
            <w:t>7</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_Toc4651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相关记录</w:t>
          </w:r>
          <w:r>
            <w:tab/>
          </w:r>
          <w:r>
            <w:fldChar w:fldCharType="begin"/>
          </w:r>
          <w:r>
            <w:instrText xml:space="preserve"> PAGEREF _Toc4651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8616"/>
      <w:r>
        <w:rPr>
          <w:rFonts w:hint="eastAsia"/>
          <w:lang w:val="en-US" w:eastAsia="zh-CN"/>
        </w:rPr>
        <w:t>目的</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建立规范、高效的内外部沟通机制，确保公司（供方）与客户（需方）及相关方之间的信息得到及时、准确、有效的传递与交流，充分理解并满足需方的服务诉求，提升服务透明度和客户满意度，保障运维服务工作的协同性与有效性，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3940"/>
      <w:r>
        <w:rPr>
          <w:rFonts w:hint="eastAsia"/>
          <w:lang w:val="en-US" w:eastAsia="zh-CN"/>
        </w:rPr>
        <w:t>适用范围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本制度适用于公司所有软件运维服务活动中，与需方及相关方就服务事项进行的协商、信息交流与沟通管理。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9428"/>
      <w:r>
        <w:rPr>
          <w:rFonts w:hint="eastAsia"/>
          <w:lang w:val="en-US" w:eastAsia="zh-CN"/>
        </w:rPr>
        <w:t>职责</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4056"/>
      <w:r>
        <w:rPr>
          <w:rFonts w:hint="eastAsia"/>
          <w:lang w:val="en-US" w:eastAsia="zh-CN"/>
        </w:rPr>
        <w:t>公司管理层</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确保在公司内部及与需方、相关方之间建立并维护有效的沟通渠道，对沟通的有效性进行监督。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4098"/>
      <w:r>
        <w:rPr>
          <w:rFonts w:hint="eastAsia"/>
          <w:lang w:val="en-US" w:eastAsia="zh-CN"/>
        </w:rPr>
        <w:t>质量管理部</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作为沟通管理的归口监督部门，负责监督本制度的执行，定期收集、处理和反馈内外部沟通信息，特别是需方满意度与意见。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0368"/>
      <w:r>
        <w:rPr>
          <w:rFonts w:hint="eastAsia"/>
          <w:lang w:val="en-US" w:eastAsia="zh-CN"/>
        </w:rPr>
        <w:t>数智运营部</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数智运营部经理：负责部门层面与需方重要信息的审批与传递，确保沟通内容准确、及时。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2536"/>
      <w:r>
        <w:rPr>
          <w:rFonts w:hint="eastAsia"/>
          <w:lang w:val="en-US" w:eastAsia="zh-CN"/>
        </w:rPr>
        <w:t>运维项目经理</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作为具体运维项目的需方沟通第一责任人，全面负责项目周期内与需方的日常沟通、需求确认、问题反馈、服务报告交付及关系维护。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6684"/>
      <w:r>
        <w:rPr>
          <w:rFonts w:hint="eastAsia"/>
          <w:lang w:val="en-US" w:eastAsia="zh-CN"/>
        </w:rPr>
        <w:t>工作程序</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0057"/>
      <w:r>
        <w:rPr>
          <w:rFonts w:hint="eastAsia"/>
          <w:lang w:val="en-US" w:eastAsia="zh-CN"/>
        </w:rPr>
        <w:t>沟通信息内容</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内部沟通（公司各部门、各层级间）主要信息包括：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公司质量方针、管理制度的发布、修订及执行情况。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运维服务管理体系绩效的监视和测量结果（如SLA/KPI达成情况）。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内部审核、管理评审的结果及改进要求的落实情况。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重大客户投诉、重大服务事件的分析与处理进展。</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《运维服务目录》的变更信息。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需方及外部相关方的重大意见、要求或反馈。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影响服务有效性的其他重要内部信息（如技术风险、资源瓶颈等）。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GoBack"/>
      <w:bookmarkEnd w:id="11"/>
      <w:r>
        <w:rPr>
          <w:rFonts w:hint="eastAsia"/>
          <w:lang w:val="en-US" w:eastAsia="zh-CN"/>
        </w:rPr>
        <w:t>外部沟通（与需方及相关方）主要信息包括：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服务级别协议（SLA）的履行情况、服务报告。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服务变更（范围、时间、成本等）的提议、评审与批准。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事件（特别是重大事件）的状态、处理进展与根本原因分析。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需方提出的新需求、投诉、建议及表扬。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定期服务评审会议的议题与决议。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公司介绍、服务能力说明、相关政策调整等需知会需方的信息。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与服务质量相关的法律、法规及其他要求的变化。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5541"/>
      <w:r>
        <w:rPr>
          <w:rFonts w:hint="eastAsia"/>
          <w:lang w:val="en-US" w:eastAsia="zh-CN"/>
        </w:rPr>
        <w:t>信息的收集、处理与利用</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内部信息由产生部门负责记录、处理和传递。质量管理部定期主动收集各部门在服务过程中获得的需方反馈及改进建议，进行分析与分发。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外部信息（主要来自需方）由首次接触部门（如服务台、运维项目经理）负责接收、记录于《信息交流处理单》，并依据信息性质进行处理或上报。确保需方的任何意见、要求都能得到及时响应与闭环处理。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6282"/>
      <w:r>
        <w:rPr>
          <w:rFonts w:hint="eastAsia"/>
          <w:lang w:val="en-US" w:eastAsia="zh-CN"/>
        </w:rPr>
        <w:t>协商与信息交流方式</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内部沟通方式：包括但不限于公司文件/通知、例会（如部门周会）、专题会议、内部报告、内网公告、即时通讯工具、电子邮件等。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外部沟通方式：应根据沟通内容、紧急程度和需方偏好灵活选择，包括但不限于：</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正式书面：服务报告、会议纪要、工作联络单、合同/协议变更文件。</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会议：定期服务评审会、项目例会、专题研讨会、电话/视频会议。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即时沟通：电话、企业微信/钉钉等即时通讯工具（用于日常事务沟通）。</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面对面交流：定期/不定期走访、现场协调会。</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运维项目经理是外部沟通的核心协调人，负责确保沟通渠道畅通，信息准确传达。</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6236"/>
      <w:r>
        <w:rPr>
          <w:rFonts w:hint="eastAsia"/>
          <w:lang w:val="en-US" w:eastAsia="zh-CN"/>
        </w:rPr>
        <w:t>沟通频次</w:t>
      </w:r>
      <w:bookmarkEnd w:id="1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3871"/>
      <w:r>
        <w:rPr>
          <w:rFonts w:hint="eastAsia"/>
          <w:lang w:val="en-US" w:eastAsia="zh-CN"/>
        </w:rPr>
        <w:t>例行沟通</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服务报告：按SLA约定周期（通常为月度/季度）提交。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服务评审会议：至少每季度一次，与需方回顾服务绩效，讨论改进措施。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项目例会：根据项目需要定期召开（如双周会）。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4460"/>
      <w:r>
        <w:rPr>
          <w:rFonts w:hint="eastAsia"/>
          <w:lang w:val="en-US" w:eastAsia="zh-CN"/>
        </w:rPr>
        <w:t>事件驱动沟通</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对于服务请求、事件（尤其是重大事件）、变更等，严格按照相关流程定义的时限和要求进行沟通。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8501"/>
      <w:r>
        <w:rPr>
          <w:rFonts w:hint="eastAsia"/>
          <w:lang w:val="en-US" w:eastAsia="zh-CN"/>
        </w:rPr>
        <w:t>专项沟通</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如服务范围变更、合同续签、年度满意度调查等，按需安排。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8172"/>
      <w:r>
        <w:rPr>
          <w:rFonts w:hint="eastAsia"/>
          <w:lang w:val="en-US" w:eastAsia="zh-CN"/>
        </w:rPr>
        <w:t>沟通记录管理</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正式的、重要的内外部沟通，特别是与需方的会议、关键决策、需求确认、投诉处理等，均应保留可追溯的记录。记录形式包括会议纪要、邮件归档、《信息交流处理单》、签收单等。相关记录由责任部门妥善保存，并按要求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4651"/>
      <w:r>
        <w:rPr>
          <w:rFonts w:hint="eastAsia"/>
          <w:lang w:val="en-US" w:eastAsia="zh-CN"/>
        </w:rPr>
        <w:t>相关记录</w:t>
      </w:r>
      <w:bookmarkEnd w:id="19"/>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《信息交流处理单》</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《服务评审会议纪要》</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《客户沟通记录表》</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《需方项目联系人清单》</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11BE283B"/>
    <w:multiLevelType w:val="singleLevel"/>
    <w:tmpl w:val="11BE283B"/>
    <w:lvl w:ilvl="0">
      <w:start w:val="1"/>
      <w:numFmt w:val="decimal"/>
      <w:lvlText w:val="%1."/>
      <w:lvlJc w:val="left"/>
      <w:pPr>
        <w:ind w:left="425" w:hanging="425"/>
      </w:pPr>
      <w:rPr>
        <w:rFonts w:hint="default"/>
      </w:rPr>
    </w:lvl>
  </w:abstractNum>
  <w:abstractNum w:abstractNumId="2">
    <w:nsid w:val="1CA59CB0"/>
    <w:multiLevelType w:val="singleLevel"/>
    <w:tmpl w:val="1CA59CB0"/>
    <w:lvl w:ilvl="0">
      <w:start w:val="1"/>
      <w:numFmt w:val="decimal"/>
      <w:lvlText w:val="%1."/>
      <w:lvlJc w:val="left"/>
      <w:pPr>
        <w:ind w:left="425" w:hanging="425"/>
      </w:pPr>
      <w:rPr>
        <w:rFonts w:hint="default"/>
      </w:rPr>
    </w:lvl>
  </w:abstractNum>
  <w:abstractNum w:abstractNumId="3">
    <w:nsid w:val="275EF6BE"/>
    <w:multiLevelType w:val="singleLevel"/>
    <w:tmpl w:val="275EF6BE"/>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7</Pages>
  <Words>1744</Words>
  <Characters>1860</Characters>
  <Application>Microsoft Office Word</Application>
  <DocSecurity>0</DocSecurity>
  <Lines>0</Lines>
  <Paragraphs>0</Paragraphs>
  <ScaleCrop>false</ScaleCrop>
  <Company/>
  <LinksUpToDate>false</LinksUpToDate>
  <CharactersWithSpaces>1945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2026-01-27T05:33:42Z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