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05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788"/>
      <w:r>
        <w:rPr>
          <w:rFonts w:hint="eastAsia"/>
          <w:lang w:val="en-US" w:eastAsia="zh-CN"/>
        </w:rPr>
        <w:t>2025年6月满意度调查报告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2025年6月满意度调查报告</w:t>
          </w:r>
          <w:r>
            <w:tab/>
          </w:r>
          <w:r>
            <w:fldChar w:fldCharType="begin"/>
          </w:r>
          <w:r>
            <w:instrText xml:space="preserve"> PAGEREF _Toc16788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_Toc5388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_Toc8993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_Toc5812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_Toc11573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_Toc30204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_Toc5880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客户书面意见汇总</w:t>
          </w:r>
          <w:r>
            <w:tab/>
          </w:r>
          <w:r>
            <w:fldChar w:fldCharType="begin"/>
          </w:r>
          <w:r>
            <w:instrText xml:space="preserve"> PAGEREF _Toc8576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_Toc23328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2103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为客观评估公司运维服务质量，深入了解客户需求与期望，持续提升客户满意度，质量管理部根据《客户满意度调查管理制度》要求，于2025年6月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组织开展了半年度客户满意度调查工作。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本次调查旨在通过对服务客户的直接回访，真实反映客户对我公司运维服务的质量评价，识别服务过程中的优势与待改进环节，为后续服务质量改进与管理决策提供客观依据。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本次调查采用线上问卷与电话回访相结合的方式，面向2025年上半年有活跃服务记录的客户进行抽样调查。截至报告期，共回收有效调查问卷</w:t>
      </w:r>
      <w:r>
        <w:rPr>
          <w:rFonts w:hint="eastAsia"/>
          <w:lang w:val="en-US" w:eastAsia="zh-CN"/>
        </w:rPr>
        <w:t>8份</w:t>
      </w:r>
      <w:r>
        <w:rPr>
          <w:rFonts w:hint="default"/>
          <w:lang w:val="en-US" w:eastAsia="zh-CN"/>
        </w:rPr>
        <w:t>，覆盖了主要服务省份和项目，调查结果具有较好的代表性。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5388"/>
      <w:r>
        <w:rPr>
          <w:rFonts w:hint="default"/>
          <w:lang w:val="en-US" w:eastAsia="zh-CN"/>
        </w:rPr>
        <w:t>调查方法与评价体系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8993"/>
      <w:r>
        <w:rPr>
          <w:rFonts w:hint="default"/>
          <w:lang w:val="en-US" w:eastAsia="zh-CN"/>
        </w:rPr>
        <w:t>调查方法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2025年6月30日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5812"/>
      <w:r>
        <w:rPr>
          <w:rFonts w:hint="default"/>
          <w:lang w:val="en-US" w:eastAsia="zh-CN"/>
        </w:rPr>
        <w:t>评价与计分标准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 × 100%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本次整体客户满意度=(所有有效问卷满意度得分总和 / 有效问卷总数)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1573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TableNormal0"/>
        <w:tblW w:w="830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>
        <w:tblPrEx>
          <w:tblW w:w="830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/>
        </w:trPr>
        <w:tc>
          <w:tcPr>
            <w:tcW w:w="723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>
            <w:pPr>
              <w:spacing w:before="171" w:line="267" w:lineRule="exact"/>
              <w:ind w:left="226"/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/>
        </w:trPr>
        <w:tc>
          <w:tcPr>
            <w:tcW w:w="723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</w:trPr>
        <w:tc>
          <w:tcPr>
            <w:tcW w:w="723" w:type="dxa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16"/>
                <w:szCs w:val="16"/>
                <w:lang w:val="en-US" w:eastAsia="zh-CN"/>
              </w:rPr>
              <w:t>江西电信信息产业有限公司</w:t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r>
              <w:t>10</w:t>
            </w:r>
          </w:p>
        </w:tc>
        <w:tc>
          <w:tcPr>
            <w:tcW w:w="456" w:type="dxa"/>
          </w:tcPr>
          <w:p>
            <w:r>
              <w:t>9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/>
        </w:trPr>
        <w:tc>
          <w:tcPr>
            <w:tcW w:w="723" w:type="dxa"/>
          </w:tcPr>
          <w:p>
            <w:pPr>
              <w:spacing w:before="128" w:line="227" w:lineRule="auto"/>
              <w:ind w:left="108"/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>
            <w:pPr>
              <w:spacing w:before="128" w:line="227" w:lineRule="auto"/>
              <w:ind w:left="108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9"/>
                <w:sz w:val="16"/>
                <w:szCs w:val="16"/>
                <w:lang w:val="en-US" w:eastAsia="zh-CN"/>
              </w:rPr>
              <w:t>鹰潭应用工程学校</w:t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r>
              <w:t>9</w:t>
            </w:r>
          </w:p>
        </w:tc>
        <w:tc>
          <w:tcPr>
            <w:tcW w:w="571" w:type="dxa"/>
          </w:tcPr>
          <w:p>
            <w:r>
              <w:t>8</w:t>
            </w:r>
          </w:p>
        </w:tc>
        <w:tc>
          <w:tcPr>
            <w:tcW w:w="477" w:type="dxa"/>
          </w:tcPr>
          <w:p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>
            <w: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95%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  <w:t>鹰潭市余江区住房和城乡建设局</w:t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r>
              <w:rPr>
                <w:rFonts w:hint="eastAsia"/>
                <w:lang w:val="en-US" w:eastAsia="zh-CN"/>
              </w:rPr>
              <w:t>1</w:t>
            </w:r>
            <w:r>
              <w:t>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南昌恒兴物业管理有限公司</w:t>
            </w:r>
          </w:p>
        </w:tc>
        <w:tc>
          <w:tcPr>
            <w:tcW w:w="50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  <w:t>赣州华信科技有限公司</w:t>
            </w:r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  <w:t>九江职业技术学院</w:t>
            </w:r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  <w:t>抚州市人民医院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  <w:t>上饶市公安局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96.3%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满意度占比</w:t>
            </w:r>
          </w:p>
        </w:tc>
        <w:tc>
          <w:tcPr>
            <w:tcW w:w="50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92.5% </w:t>
            </w:r>
          </w:p>
        </w:tc>
        <w:tc>
          <w:tcPr>
            <w:tcW w:w="57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477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5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30204"/>
      <w:r>
        <w:rPr>
          <w:rFonts w:hint="default"/>
          <w:lang w:val="en-US" w:eastAsia="zh-CN"/>
        </w:rPr>
        <w:t>整体满意度结果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本次调查的整体客户满意度得分为：超过公司设定的年度目标值，表明客户对公司上半年运维服务的总体评价为“满意”。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5880"/>
      <w:r>
        <w:rPr>
          <w:rFonts w:hint="default"/>
          <w:lang w:val="en-US" w:eastAsia="zh-CN"/>
        </w:rPr>
        <w:t>各维度满意度分析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通过收集的满意度调查表分析得出，客户对沟通协调方面满意度较低，在下一阶段应加强客户满意度调查管理制度的培训。质量相关部门加强监督。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8576"/>
      <w:r>
        <w:rPr>
          <w:rFonts w:hint="default"/>
          <w:lang w:val="en-US" w:eastAsia="zh-CN"/>
        </w:rPr>
        <w:t>客户书面意见汇总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在开放式问题中，共收集到客户书面意见 27条，其中：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表扬与肯定（18条）：主要针对具体工程师的快速响应和负责态度。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具体改进建议（6条）：涉及变更沟通、知识共享、报表定制化等。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问题咨询（3条）：已转服务台跟进解答。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3328"/>
      <w:r>
        <w:rPr>
          <w:rFonts w:hint="default"/>
          <w:lang w:val="en-US" w:eastAsia="zh-CN"/>
        </w:rPr>
        <w:t>结论与总结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本次客户满意度调查结果表明，公司2025年上半年的运维服务整体上获得了客户的广泛认可，尤其在服务态度与响应速度方面表现突出，达到了年度质量目标。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调查同时揭示了在“沟通</w:t>
      </w:r>
      <w:r>
        <w:rPr>
          <w:rFonts w:hint="eastAsia"/>
          <w:lang w:val="en-US" w:eastAsia="zh-CN"/>
        </w:rPr>
        <w:t>协调</w:t>
      </w:r>
      <w:r>
        <w:rPr>
          <w:rFonts w:hint="default"/>
          <w:lang w:val="en-US" w:eastAsia="zh-CN"/>
        </w:rPr>
        <w:t>”方面存在的提升空间。针对识别出的不满意项与改进建议，质量管理部已协同数智运营部制定了明确的改进计划。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由质量管理部和数智运营部加强监督，并由人力部对《满意度管理制度》和《沟通管理制度</w:t>
      </w:r>
      <w:bookmarkStart w:id="11" w:name="_GoBack"/>
      <w:bookmarkEnd w:id="11"/>
      <w:r>
        <w:rPr>
          <w:rFonts w:hint="eastAsia"/>
          <w:lang w:val="en-US" w:eastAsia="zh-CN"/>
        </w:rPr>
        <w:t>》进行宣贯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下一步工作：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将本报告及改进计划提交至管理评审会议。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由质量管理部跟踪上述改进措施的实施进度与效果，并在年末的满意度调查中进行针对性回访与效果验证。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将持续的客户声音反馈机制融入日常服务流程，变“定期调查”为“持续感知”，推动服务质量螺旋上升。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1466</Words>
  <Characters>1682</Characters>
  <Application>Microsoft Office Word</Application>
  <DocSecurity>0</DocSecurity>
  <Lines>0</Lines>
  <Paragraphs>0</Paragraphs>
  <ScaleCrop>false</ScaleCrop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2026-01-28T16:55:24Z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