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04D28C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3388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5412713C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4753"/>
      <w:r>
        <w:rPr>
          <w:rFonts w:hint="eastAsia"/>
          <w:lang w:val="en-US" w:eastAsia="zh-CN"/>
        </w:rPr>
        <w:t>人员储备管理制度</w:t>
      </w:r>
      <w:bookmarkEnd w:id="1"/>
    </w:p>
    <w:p w14:paraId="10DE193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123D34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1FFCBF7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人力部</w:t>
            </w:r>
          </w:p>
        </w:tc>
        <w:tc>
          <w:tcPr>
            <w:tcW w:w="2708" w:type="dxa"/>
          </w:tcPr>
          <w:p w14:paraId="189322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668434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4A0567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4B54EDB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61E7FC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63D246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15CE46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2BA99BC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0ADAB4A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55F8902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61C6BB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6B9F83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2C6AA8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69F3241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67D97D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23AD92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39FDB8D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5EDA1E2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1BE415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567A512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FF546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  <w:lang w:val="en-US" w:eastAsia="zh-CN"/>
              </w:rPr>
              <w:t>陈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萍</w:t>
            </w:r>
          </w:p>
        </w:tc>
        <w:tc>
          <w:tcPr>
            <w:tcW w:w="1606" w:type="dxa"/>
          </w:tcPr>
          <w:p w14:paraId="2C7431D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468F544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236511F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F90124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184C152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2DA8103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464A83A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1888BA7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4E252D5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A00C3C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394769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0F641FC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255BA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358ACB8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0EE9414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213692A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3A83CD3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407AE78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4DA0D19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4F28FEC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90A51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2F1F7FE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2364AAE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250C515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hint="eastAsia" w:ascii="宋体" w:hAnsi="宋体" w:eastAsia="宋体" w:cs="宋体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0BE95F86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312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625884A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_Toc13388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_Toc13388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B6D4D9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_Toc24753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人员储备管理制度</w:t>
          </w:r>
          <w:r>
            <w:tab/>
          </w:r>
          <w:r>
            <w:fldChar w:fldCharType="begin"/>
          </w:r>
          <w:r>
            <w:instrText xml:space="preserve"> PAGEREF _Toc24753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11C772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_Toc21478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_Toc21478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421828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_Toc31884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前言</w:t>
          </w:r>
          <w:r>
            <w:tab/>
          </w:r>
          <w:r>
            <w:fldChar w:fldCharType="begin"/>
          </w:r>
          <w:r>
            <w:instrText xml:space="preserve"> PAGEREF _Toc31884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58D0C6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_Toc31102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目标</w:t>
          </w:r>
          <w:r>
            <w:tab/>
          </w:r>
          <w:r>
            <w:fldChar w:fldCharType="begin"/>
          </w:r>
          <w:r>
            <w:instrText xml:space="preserve"> PAGEREF _Toc31102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B627D5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_Toc25831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适用范围</w:t>
          </w:r>
          <w:r>
            <w:tab/>
          </w:r>
          <w:r>
            <w:fldChar w:fldCharType="begin"/>
          </w:r>
          <w:r>
            <w:instrText xml:space="preserve"> PAGEREF _Toc25831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328CE6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_Toc26393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职责分工</w:t>
          </w:r>
          <w:r>
            <w:tab/>
          </w:r>
          <w:r>
            <w:fldChar w:fldCharType="begin"/>
          </w:r>
          <w:r>
            <w:instrText xml:space="preserve"> PAGEREF _Toc26393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656883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_Toc4526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人力部</w:t>
          </w:r>
          <w:r>
            <w:tab/>
          </w:r>
          <w:r>
            <w:fldChar w:fldCharType="begin"/>
          </w:r>
          <w:r>
            <w:instrText xml:space="preserve"> PAGEREF _Toc4526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889899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_Toc17187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各业务与职能部门</w:t>
          </w:r>
          <w:r>
            <w:tab/>
          </w:r>
          <w:r>
            <w:fldChar w:fldCharType="begin"/>
          </w:r>
          <w:r>
            <w:instrText xml:space="preserve"> PAGEREF _Toc17187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A92AB0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_Toc3353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储备制度建立</w:t>
          </w:r>
          <w:r>
            <w:tab/>
          </w:r>
          <w:r>
            <w:fldChar w:fldCharType="begin"/>
          </w:r>
          <w:r>
            <w:instrText xml:space="preserve"> PAGEREF _Toc3353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E8DB07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_Toc32362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储备岗位分析</w:t>
          </w:r>
          <w:r>
            <w:tab/>
          </w:r>
          <w:r>
            <w:fldChar w:fldCharType="begin"/>
          </w:r>
          <w:r>
            <w:instrText xml:space="preserve"> PAGEREF _Toc32362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673DC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_Toc15954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建立人员需求库</w:t>
          </w:r>
          <w:r>
            <w:tab/>
          </w:r>
          <w:r>
            <w:fldChar w:fldCharType="begin"/>
          </w:r>
          <w:r>
            <w:instrText xml:space="preserve"> PAGEREF _Toc15954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25FEFE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_Toc32440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 储备人员来源与确定</w:t>
          </w:r>
          <w:r>
            <w:tab/>
          </w:r>
          <w:r>
            <w:fldChar w:fldCharType="begin"/>
          </w:r>
          <w:r>
            <w:instrText xml:space="preserve"> PAGEREF _Toc32440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B5A5A8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_Toc18970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3.3.1. 外部招聘储备</w:t>
          </w:r>
          <w:r>
            <w:tab/>
          </w:r>
          <w:r>
            <w:fldChar w:fldCharType="begin"/>
          </w:r>
          <w:r>
            <w:instrText xml:space="preserve"> PAGEREF _Toc18970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57CD5A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_Toc23398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3.3.2. 内部储备与选拔</w:t>
          </w:r>
          <w:r>
            <w:tab/>
          </w:r>
          <w:r>
            <w:fldChar w:fldCharType="begin"/>
          </w:r>
          <w:r>
            <w:instrText xml:space="preserve"> PAGEREF _Toc23398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92B39C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_Toc16795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培养、发展与保留</w:t>
          </w:r>
          <w:r>
            <w:tab/>
          </w:r>
          <w:r>
            <w:fldChar w:fldCharType="begin"/>
          </w:r>
          <w:r>
            <w:instrText xml:space="preserve"> PAGEREF _Toc16795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066513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_Toc9057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培养体系</w:t>
          </w:r>
          <w:r>
            <w:tab/>
          </w:r>
          <w:r>
            <w:fldChar w:fldCharType="begin"/>
          </w:r>
          <w:r>
            <w:instrText xml:space="preserve"> PAGEREF _Toc9057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706E4A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_Toc22735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考核与评估</w:t>
          </w:r>
          <w:r>
            <w:tab/>
          </w:r>
          <w:r>
            <w:fldChar w:fldCharType="begin"/>
          </w:r>
          <w:r>
            <w:instrText xml:space="preserve"> PAGEREF _Toc22735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87C455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_Toc8309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保留机制</w:t>
          </w:r>
          <w:r>
            <w:tab/>
          </w:r>
          <w:r>
            <w:fldChar w:fldCharType="begin"/>
          </w:r>
          <w:r>
            <w:instrText xml:space="preserve"> PAGEREF _Toc8309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F4FD72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_Toc26917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_Toc26917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4CCA8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_Toc27102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附则</w:t>
          </w:r>
          <w:r>
            <w:tab/>
          </w:r>
          <w:r>
            <w:fldChar w:fldCharType="begin"/>
          </w:r>
          <w:r>
            <w:instrText xml:space="preserve"> PAGEREF _Toc27102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1D3A8F1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312" w:lineRule="auto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512B300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br w:type="page"/>
      </w:r>
    </w:p>
    <w:p w14:paraId="6806178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" w:name="_Toc21478"/>
      <w:r>
        <w:rPr>
          <w:rFonts w:hint="default"/>
          <w:lang w:val="en-US" w:eastAsia="zh-CN"/>
        </w:rPr>
        <w:t>总则</w:t>
      </w:r>
      <w:bookmarkEnd w:id="2"/>
    </w:p>
    <w:p w14:paraId="57B99C4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31884"/>
      <w:r>
        <w:rPr>
          <w:rFonts w:hint="default"/>
          <w:lang w:val="en-US" w:eastAsia="zh-CN"/>
        </w:rPr>
        <w:t>前言</w:t>
      </w:r>
      <w:bookmarkEnd w:id="3"/>
    </w:p>
    <w:p w14:paraId="68B4EA4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为实现公司可持续发展战略，保障软件运维服务业务的人才供给，优化人才结构，形成动态、有序的人才梯队，降低关键岗位空缺风险，特制定本制度。</w:t>
      </w:r>
    </w:p>
    <w:p w14:paraId="69A2437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31102"/>
      <w:r>
        <w:rPr>
          <w:rFonts w:hint="default"/>
          <w:lang w:val="en-US" w:eastAsia="zh-CN"/>
        </w:rPr>
        <w:t>目标</w:t>
      </w:r>
      <w:bookmarkEnd w:id="4"/>
    </w:p>
    <w:p w14:paraId="11DC852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建立并完善系统化的人员储备机制，确保公司关键及紧缺岗位能及时获得合格人才补充，保障业务连续性。</w:t>
      </w:r>
    </w:p>
    <w:p w14:paraId="4CB774E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识别与培养高潜力员工，打通内部晋升通道，激励员工成长，提升组织整体能力与员工忠诚度。</w:t>
      </w:r>
    </w:p>
    <w:p w14:paraId="40A1CA3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应对外部人才市场波动及内部人员流动，形成良性的人才循环，支持公司业务的稳定与扩张。</w:t>
      </w:r>
    </w:p>
    <w:p w14:paraId="5936A0B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25831"/>
      <w:r>
        <w:rPr>
          <w:rFonts w:hint="default"/>
          <w:lang w:val="en-US" w:eastAsia="zh-CN"/>
        </w:rPr>
        <w:t>适用范围</w:t>
      </w:r>
      <w:bookmarkEnd w:id="5"/>
    </w:p>
    <w:p w14:paraId="49D589D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本制度适用于公司所有与软件运维服务相关的岗位及全体员工。</w:t>
      </w:r>
    </w:p>
    <w:p w14:paraId="720259C9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26393"/>
      <w:r>
        <w:rPr>
          <w:rFonts w:hint="default"/>
          <w:lang w:val="en-US" w:eastAsia="zh-CN"/>
        </w:rPr>
        <w:t>职责分工</w:t>
      </w:r>
      <w:bookmarkEnd w:id="6"/>
    </w:p>
    <w:p w14:paraId="3A1E0F4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4526"/>
      <w:r>
        <w:rPr>
          <w:rFonts w:hint="default"/>
          <w:lang w:val="en-US" w:eastAsia="zh-CN"/>
        </w:rPr>
        <w:t>人力部</w:t>
      </w:r>
      <w:bookmarkEnd w:id="7"/>
    </w:p>
    <w:p w14:paraId="09052A8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作为本制度的归口管理部门，负责人力资源规划与储备策略的制定。</w:t>
      </w:r>
    </w:p>
    <w:p w14:paraId="13BB61E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负责组织各部门进行人才盘点与需求分析，汇总制定年度储备人员招聘与培养计划。</w:t>
      </w:r>
    </w:p>
    <w:p w14:paraId="6D9359F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负责开拓并维护多元化招聘渠道，组织实施外部招聘与内部选拔。</w:t>
      </w:r>
    </w:p>
    <w:p w14:paraId="670A982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负责统筹新员工入职培训、岗位认知及核心人才的发展培养项目。</w:t>
      </w:r>
    </w:p>
    <w:p w14:paraId="0E5A6CF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负责建立与维护核心人才库与员工发展档案。</w:t>
      </w:r>
    </w:p>
    <w:p w14:paraId="01B8C65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负责制定并推动落实相关的激励、保留与发展政策。</w:t>
      </w:r>
    </w:p>
    <w:p w14:paraId="6EFAF48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17187"/>
      <w:r>
        <w:rPr>
          <w:rFonts w:hint="default"/>
          <w:lang w:val="en-US" w:eastAsia="zh-CN"/>
        </w:rPr>
        <w:t>各业务与职能部门</w:t>
      </w:r>
      <w:bookmarkEnd w:id="8"/>
    </w:p>
    <w:p w14:paraId="02229DF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负责根据业务规划与项目预测，向人力部提报本部门的人才储备需求。</w:t>
      </w:r>
    </w:p>
    <w:p w14:paraId="1D243AA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参与本部门关键岗位储备人选的推荐、选拔与评估。</w:t>
      </w:r>
    </w:p>
    <w:p w14:paraId="3BCEF9A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负责储备人员（含新员工）在岗期间的技能培训、导师安排与日常工作指导。</w:t>
      </w:r>
    </w:p>
    <w:p w14:paraId="272221D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配合人力部实施跨部门的岗位认知与轮岗计划。</w:t>
      </w:r>
    </w:p>
    <w:p w14:paraId="4DD0328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落实“人员备份机制”，确保关键工作不因人员临时缺位而中断。</w:t>
      </w:r>
    </w:p>
    <w:p w14:paraId="079E774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3353"/>
      <w:r>
        <w:rPr>
          <w:rFonts w:hint="default"/>
          <w:lang w:val="en-US" w:eastAsia="zh-CN"/>
        </w:rPr>
        <w:t>储备制度建立</w:t>
      </w:r>
      <w:bookmarkEnd w:id="9"/>
    </w:p>
    <w:p w14:paraId="43A3D0F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32362"/>
      <w:r>
        <w:rPr>
          <w:rFonts w:hint="default"/>
          <w:lang w:val="en-US" w:eastAsia="zh-CN"/>
        </w:rPr>
        <w:t>储备岗位分析</w:t>
      </w:r>
      <w:bookmarkEnd w:id="10"/>
    </w:p>
    <w:p w14:paraId="0CAB5C0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人力部应协同各业务部门，定期识别与分析以下两类需建立储备的岗位：</w:t>
      </w:r>
    </w:p>
    <w:p w14:paraId="1664B9B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关键性岗位：</w:t>
      </w:r>
      <w:bookmarkStart w:id="21" w:name="_GoBack"/>
      <w:bookmarkEnd w:id="21"/>
      <w:r>
        <w:rPr>
          <w:rFonts w:hint="default"/>
          <w:lang w:val="en-US" w:eastAsia="zh-CN"/>
        </w:rPr>
        <w:t>对公司运维服务稳定性、技术核心竞争力或客户关系有重大影响的岗位。</w:t>
      </w:r>
    </w:p>
    <w:p w14:paraId="57F1C27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高流动性岗位：根据历史数据分析，主动离职率较高的基础性或特定技能岗位（如：一线运维工程师、特定技术栈工程师等）。需同步分析流动原因并制定保留措施。</w:t>
      </w:r>
    </w:p>
    <w:p w14:paraId="3768E33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15954"/>
      <w:r>
        <w:rPr>
          <w:rFonts w:hint="default"/>
          <w:lang w:val="en-US" w:eastAsia="zh-CN"/>
        </w:rPr>
        <w:t>建立人员需求库</w:t>
      </w:r>
      <w:bookmarkEnd w:id="11"/>
    </w:p>
    <w:p w14:paraId="61A3A05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各部门根据业务发展预测及人员现状，提报年度储备人员需求（包括岗位、数量、能力要求、到位时间等）。</w:t>
      </w:r>
    </w:p>
    <w:p w14:paraId="13FCC0E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人力部审核汇总，结合公司整体战略与编制规划，形成公司年度《人才储备需求计划》，纳入“人员需求库”进行动态管理。</w:t>
      </w:r>
    </w:p>
    <w:p w14:paraId="05E8385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储备人员编制参考公式：</w:t>
      </w:r>
    </w:p>
    <w:p w14:paraId="4D172D6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m:oMathPara>
        <m:oMath>
          <m:r>
            <m:rPr>
              <m:sty m:val="p"/>
            </m:rPr>
            <w:rPr>
              <w:rFonts w:hint="default"/>
              <w:lang w:val="en-US" w:eastAsia="zh-CN"/>
            </w:rPr>
            <m:t>年度储备基数=各职级总人数×年平均离职率+各职级总人数×年度合同额增长率（具体系数由人力部根据实际情况调整）</m:t>
          </m:r>
        </m:oMath>
      </m:oMathPara>
    </w:p>
    <w:p w14:paraId="19FCB35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32440"/>
      <w:r>
        <w:rPr>
          <w:rFonts w:hint="default"/>
          <w:lang w:val="en-US" w:eastAsia="zh-CN"/>
        </w:rPr>
        <w:t>储备人员来源与确定</w:t>
      </w:r>
      <w:bookmarkEnd w:id="12"/>
    </w:p>
    <w:p w14:paraId="68AF4FF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18970"/>
      <w:r>
        <w:rPr>
          <w:rFonts w:hint="default"/>
          <w:lang w:val="en-US" w:eastAsia="zh-CN"/>
        </w:rPr>
        <w:t>外部招聘储备</w:t>
      </w:r>
      <w:bookmarkEnd w:id="13"/>
    </w:p>
    <w:p w14:paraId="15A2BE9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招聘渠道：以主流网络招聘平台为主，结合校园招聘、内部推荐、行业专场、与培训机构/高校合作等多种渠道。</w:t>
      </w:r>
    </w:p>
    <w:p w14:paraId="2521694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招聘流程：人力部根据《人才储备需求计划》发布职位、筛选简历、组织笔试与面试（专业技术面试由用人部门主导）。</w:t>
      </w:r>
    </w:p>
    <w:p w14:paraId="423543F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录用与试用：储备人员一经录用，按《劳动合同法》签订劳动合同，设定试用期（通常为3个月，最长不超过6个月）。试用期包含系统的入职培训和岗位实践。</w:t>
      </w:r>
    </w:p>
    <w:p w14:paraId="61370B4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4" w:name="_Toc23398"/>
      <w:r>
        <w:rPr>
          <w:rFonts w:hint="default"/>
          <w:lang w:val="en-US" w:eastAsia="zh-CN"/>
        </w:rPr>
        <w:t>内部储备与选拔</w:t>
      </w:r>
      <w:bookmarkEnd w:id="14"/>
    </w:p>
    <w:p w14:paraId="022C5CD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建立核心人才库：通过绩效评估、能力测评、上级推荐等方式，选拔高绩效、高潜力员工进入公司核心人才库，并建立个人发展档案。</w:t>
      </w:r>
    </w:p>
    <w:p w14:paraId="6C492E9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内部竞聘与晋升：对于出现的岗位空缺或新设岗位，优先通过内部公开竞聘的方式进行补充，为内部员工提供发展机会。</w:t>
      </w:r>
    </w:p>
    <w:p w14:paraId="6560B96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岗位备份机制（A/B角）：对关键操作或流程节点，明确A角（主办）与B角（协办/备份）。B角需熟悉A角业务，确保在A角临时缺位时工作无缝衔接。此机制既是风险控制，也是培养多能工的有效途径。</w:t>
      </w:r>
    </w:p>
    <w:p w14:paraId="309D0D2C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16795"/>
      <w:r>
        <w:rPr>
          <w:rFonts w:hint="default"/>
          <w:lang w:val="en-US" w:eastAsia="zh-CN"/>
        </w:rPr>
        <w:t>培养、发展与保留</w:t>
      </w:r>
      <w:bookmarkEnd w:id="15"/>
    </w:p>
    <w:p w14:paraId="41C6201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9057"/>
      <w:r>
        <w:rPr>
          <w:rFonts w:hint="default"/>
          <w:lang w:val="en-US" w:eastAsia="zh-CN"/>
        </w:rPr>
        <w:t>培养体系</w:t>
      </w:r>
      <w:bookmarkEnd w:id="16"/>
    </w:p>
    <w:p w14:paraId="085B546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对新入职储备人员及内部储备人才，建立分层分类的培养体系：</w:t>
      </w:r>
    </w:p>
    <w:p w14:paraId="3B3B482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入职培训： 由人力部组织，涵盖公司文化、规章制度、安全教育、基础流程等，促进快速融入。</w:t>
      </w:r>
    </w:p>
    <w:p w14:paraId="5F6E919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岗位认知与技能培训：由用人部门主导，通过导师制、在岗培训、项目实践等方式，使储备人员掌握岗位必备技能。</w:t>
      </w:r>
    </w:p>
    <w:p w14:paraId="343D3A5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发展性培训：针对核心人才库成员，提供领导力、项目管理、专业技术进阶等专项培训，或安排跨部门轮岗以拓宽视野。</w:t>
      </w:r>
    </w:p>
    <w:p w14:paraId="524FC86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22735"/>
      <w:r>
        <w:rPr>
          <w:rFonts w:hint="default"/>
          <w:lang w:val="en-US" w:eastAsia="zh-CN"/>
        </w:rPr>
        <w:t>考核与评估</w:t>
      </w:r>
      <w:bookmarkEnd w:id="17"/>
    </w:p>
    <w:p w14:paraId="1F0D471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试用期储备人员须通过入职培训考核与岗位实践评估。综合评估不合格者，将延长试用期、调整岗位或终止劳动关系。</w:t>
      </w:r>
    </w:p>
    <w:p w14:paraId="1B2A08C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对内部储备人才（含A/B角）的备份能力、学习成长情况，应纳入日常绩效沟通与定期评估。</w:t>
      </w:r>
    </w:p>
    <w:p w14:paraId="39BB112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8309"/>
      <w:r>
        <w:rPr>
          <w:rFonts w:hint="default"/>
          <w:lang w:val="en-US" w:eastAsia="zh-CN"/>
        </w:rPr>
        <w:t>保留机制</w:t>
      </w:r>
      <w:bookmarkEnd w:id="18"/>
    </w:p>
    <w:p w14:paraId="3D1C8DC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发展留人：明确清晰的职业发展通道（技术序列、管理序列），确保内部晋升的公平、公正、公开。</w:t>
      </w:r>
    </w:p>
    <w:p w14:paraId="4674014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激励留人：建立具有竞争力的薪酬福利体系，并将培训机会、项目参与、轮岗锻炼等非物质激励与个人发展紧密结合。</w:t>
      </w:r>
    </w:p>
    <w:p w14:paraId="6394557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文化留人：营造尊重人才、积极向上、团队协作的工作氛围，增强员工的归属感与认同感。</w:t>
      </w:r>
    </w:p>
    <w:p w14:paraId="090C202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9" w:name="_Toc26917"/>
      <w:r>
        <w:rPr>
          <w:rFonts w:hint="eastAsia"/>
          <w:lang w:val="en-US" w:eastAsia="zh-CN"/>
        </w:rPr>
        <w:t>考核指标</w:t>
      </w:r>
      <w:bookmarkEnd w:id="19"/>
    </w:p>
    <w:tbl>
      <w:tblPr>
        <w:tblStyle w:val="20"/>
        <w:tblW w:w="7675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7"/>
        <w:gridCol w:w="888"/>
        <w:gridCol w:w="3552"/>
        <w:gridCol w:w="1308"/>
      </w:tblGrid>
      <w:tr w14:paraId="53B1B6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9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2F7C01C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8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2FFC6C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3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0BA4ED0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1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30C6666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 w14:paraId="726898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9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17A013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储备计划完成率</w:t>
            </w:r>
          </w:p>
        </w:tc>
        <w:tc>
          <w:tcPr>
            <w:tcW w:w="8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0F2021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≥95%</w:t>
            </w:r>
          </w:p>
        </w:tc>
        <w:tc>
          <w:tcPr>
            <w:tcW w:w="3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E2F2E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实际完成储备人员数量/应储备人员总数量*100%</w:t>
            </w:r>
          </w:p>
        </w:tc>
        <w:tc>
          <w:tcPr>
            <w:tcW w:w="1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493E7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季度</w:t>
            </w:r>
          </w:p>
        </w:tc>
      </w:tr>
    </w:tbl>
    <w:p w14:paraId="20872CB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" w:name="_Toc27102"/>
      <w:r>
        <w:rPr>
          <w:rFonts w:hint="default"/>
          <w:lang w:val="en-US" w:eastAsia="zh-CN"/>
        </w:rPr>
        <w:t>附则</w:t>
      </w:r>
      <w:bookmarkEnd w:id="20"/>
    </w:p>
    <w:p w14:paraId="4EFEA3E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本制度由人力部负责解释、修订与推动实施。</w:t>
      </w:r>
    </w:p>
    <w:p w14:paraId="68301F0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本制度自发布之日起执行。</w:t>
      </w:r>
    </w:p>
    <w:p w14:paraId="6AE11FC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人力部可根据本制度制定具体的实施细则与配套表单（如《储备人员需求表》、《个人发展档案》、《岗位备份表》等）。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F09A31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88B22BB"/>
    <w:rsid w:val="0DA41AC3"/>
    <w:rsid w:val="19737498"/>
    <w:rsid w:val="239857CE"/>
    <w:rsid w:val="24D52A7D"/>
    <w:rsid w:val="29D67695"/>
    <w:rsid w:val="2C6170A5"/>
    <w:rsid w:val="2C8608B9"/>
    <w:rsid w:val="470B7EE1"/>
    <w:rsid w:val="6AD93CCF"/>
    <w:rsid w:val="73944C37"/>
    <w:rsid w:val="7A1F1D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link w:val="43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character" w:customStyle="1" w:styleId="43">
    <w:name w:val="柴_标题2 Char"/>
    <w:link w:val="30"/>
    <w:qFormat/>
    <w:uiPriority w:val="0"/>
    <w:rPr>
      <w:rFonts w:ascii="Arial" w:hAnsi="Arial" w:eastAsia="宋体"/>
      <w:sz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2149</Words>
  <Characters>2264</Characters>
  <Lines>0</Lines>
  <Paragraphs>0</Paragraphs>
  <TotalTime>4</TotalTime>
  <ScaleCrop>false</ScaleCrop>
  <LinksUpToDate>false</LinksUpToDate>
  <CharactersWithSpaces>2349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2026-02-01T22:56:32Z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54A65974A673417C968626C1D4D3C8DF_13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