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6019"/>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9809"/>
      <w:r>
        <w:rPr>
          <w:rFonts w:hint="eastAsia"/>
          <w:lang w:val="en-US" w:eastAsia="zh-CN"/>
        </w:rPr>
        <w:t>服务报告管理制度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6</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3</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数智运营部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徐超超</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bookmarkStart w:id="2" w:name="_GoBack"/>
          <w:bookmarkEnd w:id="2"/>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_Toc6019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_Toc6019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_Toc19809 </w:instrText>
          </w:r>
          <w:r>
            <w:rPr>
              <w:rFonts w:ascii="宋体" w:eastAsia="宋体" w:hAnsi="宋体" w:cs="宋体" w:hint="eastAsia"/>
              <w:szCs w:val="24"/>
            </w:rPr>
            <w:fldChar w:fldCharType="separate"/>
          </w:r>
          <w:r>
            <w:rPr>
              <w:rFonts w:hint="eastAsia"/>
              <w:lang w:val="en-US" w:eastAsia="zh-CN"/>
            </w:rPr>
            <w:t>服务报告管理制度</w:t>
          </w:r>
          <w:r>
            <w:tab/>
          </w:r>
          <w:r>
            <w:fldChar w:fldCharType="begin"/>
          </w:r>
          <w:r>
            <w:instrText xml:space="preserve"> PAGEREF _Toc19809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_Toc32310 </w:instrText>
          </w:r>
          <w:r>
            <w:rPr>
              <w:rFonts w:ascii="宋体" w:eastAsia="宋体" w:hAnsi="宋体" w:cs="宋体" w:hint="eastAsia"/>
              <w:szCs w:val="24"/>
            </w:rPr>
            <w:fldChar w:fldCharType="separate"/>
          </w:r>
          <w:r>
            <w:rPr>
              <w:rFonts w:hint="default"/>
              <w:lang w:val="en-US" w:eastAsia="zh-CN"/>
            </w:rPr>
            <w:t>1. 总则</w:t>
          </w:r>
          <w:r>
            <w:tab/>
          </w:r>
          <w:r>
            <w:fldChar w:fldCharType="begin"/>
          </w:r>
          <w:r>
            <w:instrText xml:space="preserve"> PAGEREF _Toc32310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_Toc4699 </w:instrText>
          </w:r>
          <w:r>
            <w:rPr>
              <w:rFonts w:ascii="宋体" w:eastAsia="宋体" w:hAnsi="宋体" w:cs="宋体" w:hint="eastAsia"/>
              <w:szCs w:val="24"/>
            </w:rPr>
            <w:fldChar w:fldCharType="separate"/>
          </w:r>
          <w:r>
            <w:rPr>
              <w:rFonts w:hint="default"/>
              <w:lang w:val="en-US" w:eastAsia="zh-CN"/>
            </w:rPr>
            <w:t>1.1. 目的</w:t>
          </w:r>
          <w:r>
            <w:tab/>
          </w:r>
          <w:r>
            <w:fldChar w:fldCharType="begin"/>
          </w:r>
          <w:r>
            <w:instrText xml:space="preserve"> PAGEREF _Toc4699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_Toc18480 </w:instrText>
          </w:r>
          <w:r>
            <w:rPr>
              <w:rFonts w:ascii="宋体" w:eastAsia="宋体" w:hAnsi="宋体" w:cs="宋体" w:hint="eastAsia"/>
              <w:szCs w:val="24"/>
            </w:rPr>
            <w:fldChar w:fldCharType="separate"/>
          </w:r>
          <w:r>
            <w:rPr>
              <w:rFonts w:hint="default"/>
              <w:lang w:val="en-US" w:eastAsia="zh-CN"/>
            </w:rPr>
            <w:t>1.2. 适用范围</w:t>
          </w:r>
          <w:r>
            <w:tab/>
          </w:r>
          <w:r>
            <w:fldChar w:fldCharType="begin"/>
          </w:r>
          <w:r>
            <w:instrText xml:space="preserve"> PAGEREF _Toc18480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_Toc23891 </w:instrText>
          </w:r>
          <w:r>
            <w:rPr>
              <w:rFonts w:ascii="宋体" w:eastAsia="宋体" w:hAnsi="宋体" w:cs="宋体" w:hint="eastAsia"/>
              <w:szCs w:val="24"/>
            </w:rPr>
            <w:fldChar w:fldCharType="separate"/>
          </w:r>
          <w:r>
            <w:rPr>
              <w:rFonts w:hint="default"/>
              <w:lang w:val="en-US" w:eastAsia="zh-CN"/>
            </w:rPr>
            <w:t>2. 职责分工</w:t>
          </w:r>
          <w:r>
            <w:tab/>
          </w:r>
          <w:r>
            <w:fldChar w:fldCharType="begin"/>
          </w:r>
          <w:r>
            <w:instrText xml:space="preserve"> PAGEREF _Toc23891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_Toc4531 </w:instrText>
          </w:r>
          <w:r>
            <w:rPr>
              <w:rFonts w:ascii="宋体" w:eastAsia="宋体" w:hAnsi="宋体" w:cs="宋体" w:hint="eastAsia"/>
              <w:szCs w:val="24"/>
            </w:rPr>
            <w:fldChar w:fldCharType="separate"/>
          </w:r>
          <w:r>
            <w:rPr>
              <w:rFonts w:hint="default"/>
              <w:lang w:val="en-US" w:eastAsia="zh-CN"/>
            </w:rPr>
            <w:t>2.1. 报告编制人</w:t>
          </w:r>
          <w:r>
            <w:tab/>
          </w:r>
          <w:r>
            <w:fldChar w:fldCharType="begin"/>
          </w:r>
          <w:r>
            <w:instrText xml:space="preserve"> PAGEREF _Toc4531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_Toc4646 </w:instrText>
          </w:r>
          <w:r>
            <w:rPr>
              <w:rFonts w:ascii="宋体" w:eastAsia="宋体" w:hAnsi="宋体" w:cs="宋体" w:hint="eastAsia"/>
              <w:szCs w:val="24"/>
            </w:rPr>
            <w:fldChar w:fldCharType="separate"/>
          </w:r>
          <w:r>
            <w:rPr>
              <w:rFonts w:hint="default"/>
              <w:lang w:val="en-US" w:eastAsia="zh-CN"/>
            </w:rPr>
            <w:t>2.2. 报告审核人</w:t>
          </w:r>
          <w:r>
            <w:tab/>
          </w:r>
          <w:r>
            <w:fldChar w:fldCharType="begin"/>
          </w:r>
          <w:r>
            <w:instrText xml:space="preserve"> PAGEREF _Toc4646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_Toc3396 </w:instrText>
          </w:r>
          <w:r>
            <w:rPr>
              <w:rFonts w:ascii="宋体" w:eastAsia="宋体" w:hAnsi="宋体" w:cs="宋体" w:hint="eastAsia"/>
              <w:szCs w:val="24"/>
            </w:rPr>
            <w:fldChar w:fldCharType="separate"/>
          </w:r>
          <w:r>
            <w:rPr>
              <w:rFonts w:hint="default"/>
              <w:lang w:val="en-US" w:eastAsia="zh-CN"/>
            </w:rPr>
            <w:t>2.3. 报告归档与管理方</w:t>
          </w:r>
          <w:r>
            <w:tab/>
          </w:r>
          <w:r>
            <w:fldChar w:fldCharType="begin"/>
          </w:r>
          <w:r>
            <w:instrText xml:space="preserve"> PAGEREF _Toc3396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_Toc26362 </w:instrText>
          </w:r>
          <w:r>
            <w:rPr>
              <w:rFonts w:ascii="宋体" w:eastAsia="宋体" w:hAnsi="宋体" w:cs="宋体" w:hint="eastAsia"/>
              <w:szCs w:val="24"/>
            </w:rPr>
            <w:fldChar w:fldCharType="separate"/>
          </w:r>
          <w:r>
            <w:rPr>
              <w:rFonts w:hint="default"/>
              <w:lang w:val="en-US" w:eastAsia="zh-CN"/>
            </w:rPr>
            <w:t>3. 报告分类与提交计划</w:t>
          </w:r>
          <w:r>
            <w:tab/>
          </w:r>
          <w:r>
            <w:fldChar w:fldCharType="begin"/>
          </w:r>
          <w:r>
            <w:instrText xml:space="preserve"> PAGEREF _Toc26362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_Toc30551 </w:instrText>
          </w:r>
          <w:r>
            <w:rPr>
              <w:rFonts w:ascii="宋体" w:eastAsia="宋体" w:hAnsi="宋体" w:cs="宋体" w:hint="eastAsia"/>
              <w:szCs w:val="24"/>
            </w:rPr>
            <w:fldChar w:fldCharType="separate"/>
          </w:r>
          <w:r>
            <w:rPr>
              <w:rFonts w:hint="default"/>
              <w:lang w:val="en-US" w:eastAsia="zh-CN"/>
            </w:rPr>
            <w:t>4. 报告管理策略</w:t>
          </w:r>
          <w:r>
            <w:tab/>
          </w:r>
          <w:r>
            <w:fldChar w:fldCharType="begin"/>
          </w:r>
          <w:r>
            <w:instrText xml:space="preserve"> PAGEREF _Toc30551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_Toc12720 </w:instrText>
          </w:r>
          <w:r>
            <w:rPr>
              <w:rFonts w:ascii="宋体" w:eastAsia="宋体" w:hAnsi="宋体" w:cs="宋体" w:hint="eastAsia"/>
              <w:szCs w:val="24"/>
            </w:rPr>
            <w:fldChar w:fldCharType="separate"/>
          </w:r>
          <w:r>
            <w:rPr>
              <w:rFonts w:hint="default"/>
              <w:lang w:val="en-US" w:eastAsia="zh-CN"/>
            </w:rPr>
            <w:t>5. 报告核心内容要求</w:t>
          </w:r>
          <w:r>
            <w:tab/>
          </w:r>
          <w:r>
            <w:fldChar w:fldCharType="begin"/>
          </w:r>
          <w:r>
            <w:instrText xml:space="preserve"> PAGEREF _Toc12720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_Toc13446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外部服务报告</w:t>
          </w:r>
          <w:r>
            <w:tab/>
          </w:r>
          <w:r>
            <w:fldChar w:fldCharType="begin"/>
          </w:r>
          <w:r>
            <w:instrText xml:space="preserve"> PAGEREF _Toc13446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_Toc31183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内部服务报告</w:t>
          </w:r>
          <w:r>
            <w:tab/>
          </w:r>
          <w:r>
            <w:fldChar w:fldCharType="begin"/>
          </w:r>
          <w:r>
            <w:instrText xml:space="preserve"> PAGEREF _Toc31183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_Toc22088 </w:instrText>
          </w:r>
          <w:r>
            <w:rPr>
              <w:rFonts w:ascii="宋体" w:eastAsia="宋体" w:hAnsi="宋体" w:cs="宋体" w:hint="eastAsia"/>
              <w:szCs w:val="24"/>
            </w:rPr>
            <w:fldChar w:fldCharType="separate"/>
          </w:r>
          <w:r>
            <w:rPr>
              <w:rFonts w:hint="default"/>
              <w:lang w:val="en-US" w:eastAsia="zh-CN"/>
            </w:rPr>
            <w:t>6. 报告管理流程</w:t>
          </w:r>
          <w:r>
            <w:tab/>
          </w:r>
          <w:r>
            <w:fldChar w:fldCharType="begin"/>
          </w:r>
          <w:r>
            <w:instrText xml:space="preserve"> PAGEREF _Toc22088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_Toc15060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_Toc15060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_Toc25211 </w:instrText>
          </w:r>
          <w:r>
            <w:rPr>
              <w:rFonts w:ascii="宋体" w:eastAsia="宋体" w:hAnsi="宋体" w:cs="宋体" w:hint="eastAsia"/>
              <w:szCs w:val="24"/>
            </w:rPr>
            <w:fldChar w:fldCharType="separate"/>
          </w:r>
          <w:r>
            <w:rPr>
              <w:rFonts w:hint="default"/>
              <w:lang w:val="en-US" w:eastAsia="zh-CN"/>
            </w:rPr>
            <w:t>8. 附则</w:t>
          </w:r>
          <w:r>
            <w:tab/>
          </w:r>
          <w:r>
            <w:fldChar w:fldCharType="begin"/>
          </w:r>
          <w:r>
            <w:instrText xml:space="preserve"> PAGEREF _Toc25211 \h </w:instrText>
          </w:r>
          <w:r>
            <w:fldChar w:fldCharType="separate"/>
          </w:r>
          <w:r>
            <w:t>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default"/>
          <w:lang w:val="en-US" w:eastAsia="zh-CN"/>
        </w:rPr>
      </w:pPr>
      <w:bookmarkStart w:id="3" w:name="_Toc32310"/>
      <w:r>
        <w:rPr>
          <w:rFonts w:hint="default"/>
          <w:lang w:val="en-US" w:eastAsia="zh-CN"/>
        </w:rPr>
        <w:t>总则</w:t>
      </w:r>
      <w:bookmarkEnd w:id="3"/>
    </w:p>
    <w:p>
      <w:pPr>
        <w:pStyle w:val="2"/>
        <w:bidi w:val="0"/>
        <w:rPr>
          <w:rFonts w:hint="default"/>
          <w:lang w:val="en-US" w:eastAsia="zh-CN"/>
        </w:rPr>
      </w:pPr>
      <w:bookmarkStart w:id="4" w:name="_Toc4699"/>
      <w:r>
        <w:rPr>
          <w:rFonts w:hint="default"/>
          <w:lang w:val="en-US" w:eastAsia="zh-CN"/>
        </w:rPr>
        <w:t>目的</w:t>
      </w:r>
      <w:bookmarkEnd w:id="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规范公司软件运维服务过程中各类报告与总结的生成、审核、发布与归档管理，确保服务过程透明、绩效可衡量、信息可追溯，并通过对服务数据的系统分析，为服务质量持续改进、管理决策及客户沟通提供可靠依据，特制定本制度。</w:t>
      </w:r>
    </w:p>
    <w:p>
      <w:pPr>
        <w:pStyle w:val="2"/>
        <w:bidi w:val="0"/>
        <w:rPr>
          <w:rFonts w:hint="default"/>
          <w:lang w:val="en-US" w:eastAsia="zh-CN"/>
        </w:rPr>
      </w:pPr>
      <w:bookmarkStart w:id="5" w:name="_Toc18480"/>
      <w:r>
        <w:rPr>
          <w:rFonts w:hint="default"/>
          <w:lang w:val="en-US" w:eastAsia="zh-CN"/>
        </w:rPr>
        <w:t>适用范围</w:t>
      </w:r>
      <w:bookmarkEnd w:id="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本制度适用于公司为提供软件运维服务而产生的所有服务报告与服务总结，包括但不限于向客户提交的外部报告及用于内部管理的总结报告。</w:t>
      </w:r>
    </w:p>
    <w:p>
      <w:pPr>
        <w:pStyle w:val="1"/>
        <w:bidi w:val="0"/>
        <w:rPr>
          <w:rFonts w:hint="default"/>
          <w:lang w:val="en-US" w:eastAsia="zh-CN"/>
        </w:rPr>
      </w:pPr>
      <w:bookmarkStart w:id="6" w:name="_Toc23891"/>
      <w:r>
        <w:rPr>
          <w:rFonts w:hint="default"/>
          <w:lang w:val="en-US" w:eastAsia="zh-CN"/>
        </w:rPr>
        <w:t>职责分工</w:t>
      </w:r>
      <w:bookmarkEnd w:id="6"/>
    </w:p>
    <w:p>
      <w:pPr>
        <w:pStyle w:val="2"/>
        <w:bidi w:val="0"/>
        <w:rPr>
          <w:rFonts w:hint="default"/>
          <w:lang w:val="en-US" w:eastAsia="zh-CN"/>
        </w:rPr>
      </w:pPr>
      <w:bookmarkStart w:id="7" w:name="_Toc4531"/>
      <w:r>
        <w:rPr>
          <w:rFonts w:hint="default"/>
          <w:lang w:val="en-US" w:eastAsia="zh-CN"/>
        </w:rPr>
        <w:t>报告编制人</w:t>
      </w:r>
      <w:bookmarkEnd w:id="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责任人：各项目运维项目经理。</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职责：负责依据本制度及合同约定，按时、保质编制《服务报告》与《服务总结》；确保报告数据真实、准确、完整；对报告内容的客观性负责。</w:t>
      </w:r>
    </w:p>
    <w:p>
      <w:pPr>
        <w:pStyle w:val="2"/>
        <w:bidi w:val="0"/>
        <w:rPr>
          <w:rFonts w:hint="default"/>
          <w:lang w:val="en-US" w:eastAsia="zh-CN"/>
        </w:rPr>
      </w:pPr>
      <w:bookmarkStart w:id="8" w:name="_Toc4646"/>
      <w:r>
        <w:rPr>
          <w:rFonts w:hint="default"/>
          <w:lang w:val="en-US" w:eastAsia="zh-CN"/>
        </w:rPr>
        <w:t>报告审核人</w:t>
      </w:r>
      <w:bookmarkEnd w:id="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责任人：数智运营部经理。</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职责：负责审核报告内容的规范性、准确性与合规性；审批报告中涉及的改进措施及资源需求；对报告中出现的重大异常情况予以关注并决策。</w:t>
      </w:r>
    </w:p>
    <w:p>
      <w:pPr>
        <w:pStyle w:val="2"/>
        <w:bidi w:val="0"/>
        <w:rPr>
          <w:rFonts w:hint="default"/>
          <w:lang w:val="en-US" w:eastAsia="zh-CN"/>
        </w:rPr>
      </w:pPr>
      <w:bookmarkStart w:id="9" w:name="_Toc3396"/>
      <w:r>
        <w:rPr>
          <w:rFonts w:hint="default"/>
          <w:lang w:val="en-US" w:eastAsia="zh-CN"/>
        </w:rPr>
        <w:t>报告归档与管理方</w:t>
      </w:r>
      <w:bookmarkEnd w:id="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责任人：数智运营部（协同质量管理部）。</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职责：负责制定和维护报告模板；监督报告按时提交；统一归档所有正式报告；定期对报告质量进行抽查；分析报告趋势，为部门及公司级改进提供输入。</w:t>
      </w:r>
    </w:p>
    <w:p>
      <w:pPr>
        <w:pStyle w:val="1"/>
        <w:bidi w:val="0"/>
        <w:rPr>
          <w:rFonts w:hint="default"/>
          <w:lang w:val="en-US" w:eastAsia="zh-CN"/>
        </w:rPr>
      </w:pPr>
      <w:bookmarkStart w:id="10" w:name="_Toc26362"/>
      <w:r>
        <w:rPr>
          <w:rFonts w:hint="default"/>
          <w:lang w:val="en-US" w:eastAsia="zh-CN"/>
        </w:rPr>
        <w:t>报告分类与提交计划</w:t>
      </w:r>
      <w:bookmarkEnd w:id="10"/>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服务报告根据汇报对象与用途，主要分为两类：</w:t>
      </w:r>
    </w:p>
    <w:tbl>
      <w:tblPr>
        <w:tblStyle w:val="TableNormal"/>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603"/>
        <w:gridCol w:w="790"/>
        <w:gridCol w:w="3258"/>
        <w:gridCol w:w="1864"/>
        <w:gridCol w:w="1983"/>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Style w:val="Strong"/>
                <w:rFonts w:ascii="Segoe UI" w:eastAsia="Segoe UI" w:hAnsi="Segoe UI" w:cs="Segoe UI" w:hint="default"/>
                <w:b/>
                <w:bCs/>
                <w:i w:val="0"/>
                <w:iCs w:val="0"/>
                <w:caps w:val="0"/>
                <w:snapToGrid w:val="0"/>
                <w:color w:val="000000"/>
                <w:spacing w:val="0"/>
                <w:kern w:val="0"/>
                <w:sz w:val="18"/>
                <w:szCs w:val="18"/>
                <w:lang w:val="en-US" w:eastAsia="zh-CN"/>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报告类型</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主要对象</w:t>
            </w:r>
          </w:p>
        </w:tc>
        <w:tc>
          <w:tcPr>
            <w:tcW w:w="325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核心目的</w:t>
            </w:r>
          </w:p>
        </w:tc>
        <w:tc>
          <w:tcPr>
            <w:tcW w:w="18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提交频率</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分发范围</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Style w:val="Strong"/>
                <w:rFonts w:ascii="Segoe UI" w:eastAsia="Segoe UI" w:hAnsi="Segoe UI" w:cs="Segoe UI" w:hint="default"/>
                <w:b/>
                <w:bCs/>
                <w:i w:val="0"/>
                <w:iCs w:val="0"/>
                <w:caps w:val="0"/>
                <w:snapToGrid w:val="0"/>
                <w:color w:val="000000"/>
                <w:spacing w:val="0"/>
                <w:kern w:val="0"/>
                <w:sz w:val="18"/>
                <w:szCs w:val="18"/>
                <w:lang w:val="en-US" w:eastAsia="zh-CN"/>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服务报告</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w:t>
            </w:r>
          </w:p>
        </w:tc>
        <w:tc>
          <w:tcPr>
            <w:tcW w:w="325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向客户透明化展示服务绩效、工作量、SLA达成情况及改进计划，提升客户满意度与信任度。</w:t>
            </w:r>
          </w:p>
        </w:tc>
        <w:tc>
          <w:tcPr>
            <w:tcW w:w="18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月度/按SLA约定</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客户接口人、公司数智运营部、质量管理部备案</w:t>
            </w:r>
          </w:p>
        </w:tc>
      </w:tr>
      <w:tr>
        <w:tblPrEx>
          <w:tblW w:w="0" w:type="auto"/>
          <w:tblInd w:w="0" w:type="dxa"/>
          <w:shd w:val="clear" w:color="auto" w:fill="auto"/>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Style w:val="Strong"/>
                <w:rFonts w:ascii="Segoe UI" w:eastAsia="Segoe UI" w:hAnsi="Segoe UI" w:cs="Segoe UI" w:hint="default"/>
                <w:b/>
                <w:bCs/>
                <w:i w:val="0"/>
                <w:iCs w:val="0"/>
                <w:caps w:val="0"/>
                <w:snapToGrid w:val="0"/>
                <w:color w:val="000000"/>
                <w:spacing w:val="0"/>
                <w:kern w:val="0"/>
                <w:sz w:val="18"/>
                <w:szCs w:val="18"/>
                <w:lang w:val="en-US" w:eastAsia="zh-CN"/>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服务总结</w:t>
            </w:r>
          </w:p>
        </w:tc>
        <w:tc>
          <w:tcPr>
            <w:tcW w:w="0" w:type="auto"/>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内部管理</w:t>
            </w:r>
          </w:p>
        </w:tc>
        <w:tc>
          <w:tcPr>
            <w:tcW w:w="3258"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项目内部复盘，分析服务指标、资源效率、流程合规性，为内部考核、能力提升及资源规划提供依据。</w:t>
            </w:r>
          </w:p>
        </w:tc>
        <w:tc>
          <w:tcPr>
            <w:tcW w:w="1864"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月度/年度</w:t>
            </w:r>
          </w:p>
        </w:tc>
        <w:tc>
          <w:tcPr>
            <w:tcW w:w="0" w:type="auto"/>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数智运营部、质量管理部、相关项目组成员</w:t>
            </w:r>
          </w:p>
        </w:tc>
      </w:tr>
    </w:tbl>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注：具体提交周期、方式及详细范围应在《服务级别协议》或项目计划中明确。</w:t>
      </w:r>
    </w:p>
    <w:p>
      <w:pPr>
        <w:pStyle w:val="1"/>
        <w:bidi w:val="0"/>
        <w:rPr>
          <w:rFonts w:hint="default"/>
          <w:lang w:val="en-US" w:eastAsia="zh-CN"/>
        </w:rPr>
      </w:pPr>
      <w:bookmarkStart w:id="11" w:name="_Toc30551"/>
      <w:r>
        <w:rPr>
          <w:rFonts w:hint="default"/>
          <w:lang w:val="en-US" w:eastAsia="zh-CN"/>
        </w:rPr>
        <w:t>报告管理策略</w:t>
      </w:r>
      <w:bookmarkEnd w:id="1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服务报告的管理应遵循以下策略：</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需求导向：报告内容与格式需预先与客户及内部管理层沟通确认，满足其决策与监督需求。</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数据驱动：报告中的关键绩效指标（KPI）必须可测量、可验证，并提供历史趋势对比分析。</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质量保证：确保报告的及时性、准确性、可靠性与一致性。报告应经过审核流程后方可发布。</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呈现清晰：采用图表等直观形式呈现数据，语言应简洁、专业、避免歧义，便于不同背景的读者理解。</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持续改进：报告不仅反映现状，更应分析根因，提出切实可行的改进建议或行动计划。</w:t>
      </w:r>
    </w:p>
    <w:p>
      <w:pPr>
        <w:pStyle w:val="1"/>
        <w:bidi w:val="0"/>
        <w:rPr>
          <w:rFonts w:hint="default"/>
          <w:lang w:val="en-US" w:eastAsia="zh-CN"/>
        </w:rPr>
      </w:pPr>
      <w:bookmarkStart w:id="12" w:name="_Toc12720"/>
      <w:r>
        <w:rPr>
          <w:rFonts w:hint="default"/>
          <w:lang w:val="en-US" w:eastAsia="zh-CN"/>
        </w:rPr>
        <w:t>报告核心内容要求</w:t>
      </w:r>
      <w:bookmarkEnd w:id="12"/>
    </w:p>
    <w:p>
      <w:pPr>
        <w:pStyle w:val="2"/>
        <w:bidi w:val="0"/>
        <w:rPr>
          <w:rFonts w:hint="default"/>
          <w:lang w:val="en-US" w:eastAsia="zh-CN"/>
        </w:rPr>
      </w:pPr>
      <w:bookmarkStart w:id="13" w:name="_Toc13446"/>
      <w:r>
        <w:rPr>
          <w:rFonts w:hint="eastAsia"/>
          <w:lang w:val="en-US" w:eastAsia="zh-CN"/>
        </w:rPr>
        <w:t>外部服务报告</w:t>
      </w:r>
      <w:bookmarkEnd w:id="1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执行摘要：本期核心绩效、重大成就与关键问题的概述。</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服务级别达成分析：对照SLA，逐项说明各项指标（如可用性、响应时间、解决时间等）的达成情况，对未达标项进行根本原因分析。</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服务工作量综述：处理的事件、服务请求、变更的数量统计与分类分析。</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重大事件回顾：重大故障或变更的实施过程、影响、解决措施及经验教训。</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客户满意度反馈：本期收集到的客户反馈摘要及处理情况。</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改进计划与建议：针对本期问题的改进措施，以及为提升服务价值提出的优化建议。</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下阶段工作计划：下一报告周期内的主要工作计划与承诺。</w:t>
      </w:r>
    </w:p>
    <w:p>
      <w:pPr>
        <w:pStyle w:val="2"/>
        <w:bidi w:val="0"/>
        <w:rPr>
          <w:rFonts w:hint="eastAsia"/>
          <w:lang w:val="en-US" w:eastAsia="zh-CN"/>
        </w:rPr>
      </w:pPr>
      <w:bookmarkStart w:id="14" w:name="_Toc31183"/>
      <w:r>
        <w:rPr>
          <w:rFonts w:hint="eastAsia"/>
          <w:lang w:val="en-US" w:eastAsia="zh-CN"/>
        </w:rPr>
        <w:t>内部服务报告</w:t>
      </w:r>
      <w:bookmarkEnd w:id="1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项目绩效深度分析：SLA达成趋势、资源（人力/工具）利用率、成本效率分析。</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流程合规性检查：总结事件、问题、变更、配置等流程的执行是否符合公司质量体系与ITSS标准。</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团队能力与知识管理：技能培训效果、知识库贡献、典型案例积累情况。</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风险与问题汇总：识别出的运营风险、重复发生的问题及长期改进项。</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内部改进计划：针对内部流程、工具、技能的优化措施与行动计划。</w:t>
      </w:r>
    </w:p>
    <w:p>
      <w:pPr>
        <w:pStyle w:val="1"/>
        <w:bidi w:val="0"/>
        <w:rPr>
          <w:rFonts w:hint="default"/>
          <w:lang w:val="en-US" w:eastAsia="zh-CN"/>
        </w:rPr>
      </w:pPr>
      <w:bookmarkStart w:id="15" w:name="_Toc22088"/>
      <w:r>
        <w:rPr>
          <w:rFonts w:hint="default"/>
          <w:lang w:val="en-US" w:eastAsia="zh-CN"/>
        </w:rPr>
        <w:t>报告管理流程</w:t>
      </w:r>
      <w:bookmarkEnd w:id="15"/>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计划与准备：数智运营部根据SLA要求，制定年度/季度报告计划。运维项目经理负责日常数据收集与记录。</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编制：报告周期结束后，运维项目经理依据模板在规定时间内完成报告编制。</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审核：编制完成的报告提交至数智运营部经理审核。审核重点包括数据准确性、结论客观性、改进措施可行性等。涉及重大事项需报更高层级审批。</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发布与提交：审核通过后的《服务报告》按约定方式提交给客户；《服务总结》提交至相关部门及管理层。</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归档：数智运营部负责将最终版报告进行统一归档，确保版本受控、便于查阅。</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回顾与利用：质量管理部及数智运营部管理层定期回顾报告内容，将其作为管理评审、流程优化和年度规划的重要输入。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15060"/>
      <w:r>
        <w:rPr>
          <w:rFonts w:hint="eastAsia"/>
          <w:lang w:val="en-US" w:eastAsia="zh-CN"/>
        </w:rPr>
        <w:t>考核指标</w:t>
      </w:r>
      <w:bookmarkEnd w:id="16"/>
    </w:p>
    <w:tbl>
      <w:tblPr>
        <w:tblStyle w:val="TableNormal"/>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2227"/>
        <w:gridCol w:w="1092"/>
        <w:gridCol w:w="3300"/>
        <w:gridCol w:w="1056"/>
      </w:tblGrid>
      <w:tr>
        <w:tblPrEx>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2227"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09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3300"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1056"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7675" w:type="dxa"/>
          <w:tblInd w:w="96" w:type="dxa"/>
          <w:shd w:val="clear" w:color="auto" w:fill="auto"/>
          <w:tblCellMar>
            <w:top w:w="0" w:type="dxa"/>
            <w:left w:w="108" w:type="dxa"/>
            <w:bottom w:w="0" w:type="dxa"/>
            <w:right w:w="108" w:type="dxa"/>
          </w:tblCellMar>
        </w:tblPrEx>
        <w:trPr>
          <w:trHeight w:val="493"/>
        </w:trPr>
        <w:tc>
          <w:tcPr>
            <w:tcW w:w="2227"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服务报告交付及时率</w:t>
            </w:r>
          </w:p>
        </w:tc>
        <w:tc>
          <w:tcPr>
            <w:tcW w:w="109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≥90%</w:t>
            </w:r>
          </w:p>
        </w:tc>
        <w:tc>
          <w:tcPr>
            <w:tcW w:w="3300"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（服务报告按时提交的数量/服务报告总数量）*100%</w:t>
            </w:r>
          </w:p>
        </w:tc>
        <w:tc>
          <w:tcPr>
            <w:tcW w:w="1056"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季度</w:t>
            </w:r>
          </w:p>
        </w:tc>
      </w:tr>
    </w:tbl>
    <w:p>
      <w:pPr>
        <w:pStyle w:val="1"/>
        <w:bidi w:val="0"/>
        <w:rPr>
          <w:rFonts w:hint="default"/>
          <w:lang w:val="en-US" w:eastAsia="zh-CN"/>
        </w:rPr>
      </w:pPr>
      <w:bookmarkStart w:id="17" w:name="_Toc25211"/>
      <w:r>
        <w:rPr>
          <w:rFonts w:hint="default"/>
          <w:lang w:val="en-US" w:eastAsia="zh-CN"/>
        </w:rPr>
        <w:t>附则</w:t>
      </w:r>
      <w:bookmarkEnd w:id="1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本制度由数智运营部负责解释与修订。</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本制度自发布之日起生效。原相关管理规定与本制度不一致的，以本制度为准。</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本制度涉及的《服务报告模板》、《服务总结模板》等，由数智运营部负责制定与更新。</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A19CC06"/>
    <w:multiLevelType w:val="singleLevel"/>
    <w:tmpl w:val="9A19CC06"/>
    <w:lvl w:ilvl="0">
      <w:start w:val="1"/>
      <w:numFmt w:val="decimal"/>
      <w:lvlText w:val="%1."/>
      <w:lvlJc w:val="left"/>
      <w:pPr>
        <w:ind w:left="425" w:hanging="425"/>
      </w:pPr>
      <w:rPr>
        <w:rFonts w:hint="default"/>
      </w:rPr>
    </w:lvl>
  </w:abstractNum>
  <w:abstractNum w:abstractNumId="2">
    <w:nsid w:val="A10A99EF"/>
    <w:multiLevelType w:val="singleLevel"/>
    <w:tmpl w:val="A10A99EF"/>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1977</Words>
  <Characters>2082</Characters>
  <Application>Microsoft Office Word</Application>
  <DocSecurity>0</DocSecurity>
  <Lines>0</Lines>
  <Paragraphs>0</Paragraphs>
  <ScaleCrop>false</ScaleCrop>
  <Company/>
  <LinksUpToDate>false</LinksUpToDate>
  <CharactersWithSpaces>2144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2026-01-28T12:53:39Z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