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0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602"/>
      <w:r>
        <w:rPr>
          <w:rFonts w:hint="eastAsia"/>
          <w:lang w:val="en-US" w:eastAsia="zh-CN"/>
        </w:rPr>
        <w:t>变更管理制度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_Toc2505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_Toc27602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_Toc16061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_Toc22764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变更分类与分级</w:t>
          </w:r>
          <w:r>
            <w:tab/>
          </w:r>
          <w:r>
            <w:fldChar w:fldCharType="begin"/>
          </w:r>
          <w:r>
            <w:instrText xml:space="preserve"> PAGEREF _Toc30045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变更分类</w:t>
          </w:r>
          <w:r>
            <w:tab/>
          </w:r>
          <w:r>
            <w:fldChar w:fldCharType="begin"/>
          </w:r>
          <w:r>
            <w:instrText xml:space="preserve"> PAGEREF _Toc29295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变更优先级</w:t>
          </w:r>
          <w:r>
            <w:tab/>
          </w:r>
          <w:r>
            <w:fldChar w:fldCharType="begin"/>
          </w:r>
          <w:r>
            <w:instrText xml:space="preserve"> PAGEREF _Toc7861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变更管理流程核心环节</w:t>
          </w:r>
          <w:r>
            <w:tab/>
          </w:r>
          <w:r>
            <w:fldChar w:fldCharType="begin"/>
          </w:r>
          <w:r>
            <w:instrText xml:space="preserve"> PAGEREF _Toc8034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变更申请与记录</w:t>
          </w:r>
          <w:r>
            <w:tab/>
          </w:r>
          <w:r>
            <w:fldChar w:fldCharType="begin"/>
          </w:r>
          <w:r>
            <w:instrText xml:space="preserve"> PAGEREF _Toc32016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变更评估与审批</w:t>
          </w:r>
          <w:r>
            <w:tab/>
          </w:r>
          <w:r>
            <w:fldChar w:fldCharType="begin"/>
          </w:r>
          <w:r>
            <w:instrText xml:space="preserve"> PAGEREF _Toc13397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变更规划与协调</w:t>
          </w:r>
          <w:r>
            <w:tab/>
          </w:r>
          <w:r>
            <w:fldChar w:fldCharType="begin"/>
          </w:r>
          <w:r>
            <w:instrText xml:space="preserve"> PAGEREF _Toc3909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变更实施、验证与回退</w:t>
          </w:r>
          <w:r>
            <w:tab/>
          </w:r>
          <w:r>
            <w:fldChar w:fldCharType="begin"/>
          </w:r>
          <w:r>
            <w:instrText xml:space="preserve"> PAGEREF _Toc26412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变更回顾与关闭</w:t>
          </w:r>
          <w:r>
            <w:tab/>
          </w:r>
          <w:r>
            <w:fldChar w:fldCharType="begin"/>
          </w:r>
          <w:r>
            <w:instrText xml:space="preserve"> PAGEREF _Toc9349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_Toc24511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_Toc32445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523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779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本公司软件运维服务中的变更管理活动，确保所有对生产环境的修改均以受控、标准化的方式进行，从而最大限度地减少或消除因变更导致的业务中断和服务质量下降，保障服务的稳定性与连续性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16061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本制度适用于公司所有软件运维服务项目中，对客户生产环境及相关组件（包括但不限于应用程序、数据库、中间件、配置文件、运行脚本、基础架构代码等）所进行的所有计划内与计划外修改。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69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授权原则： 所有变更必须经过正式申请和审批，未经批准的变更严禁实施。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记录原则： 所有变更活动必须完整记录，确保过程可追溯。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评估原则： 变更实施前必须进行充分的风险与影响评估。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回退原则： 所有变更必须制定并验证可行的回退方案，确保变更失败时可快速恢复服务。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最小化影响原则： 变更应安排在业务影响最小的时段进行，并采用灰度、滚动等策略降低风险。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2764"/>
      <w:r>
        <w:rPr>
          <w:rFonts w:hint="eastAsia"/>
          <w:lang w:val="en-US" w:eastAsia="zh-CN"/>
        </w:rPr>
        <w:t>角色与职责</w:t>
      </w:r>
      <w:bookmarkEnd w:id="7"/>
    </w:p>
    <w:p>
      <w:pPr>
        <w:pStyle w:val="a1"/>
        <w:bidi w:val="0"/>
      </w:pPr>
      <w:r>
        <w:t>为确保变更管理流程的每一项职责都有明确的责任人，现将制度中定义的角色与公司现有岗位进行对应，形成可执行的责任矩阵。</w:t>
      </w:r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3708"/>
        <w:gridCol w:w="3586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提交《变更请求单》（RFC），明确变更需求、原因及初步方案。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参与变更评审，提供业务或技术背景说明。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（通常为项目层面变更发起人）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（针对技术性优化或修复）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研究总院-开发工程师/需求分析师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（针对由研发侧发起的版本功能变更）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负责变更管理流程的整体监督与执行。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标准变更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召集并主持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会议，评审重大变更。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监控变更实施进度与结果，确保流程闭环。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审批变更的关闭。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（流程所有者，担任公司级变更经理）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（注：可授权给资深运维项目经理处理特定项目群的常规变更）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运维工程师/开发工程师（执行人）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负责制定或细化变更技术方案、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回退方案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及测试方案。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执行变更实施操作，并记录详细步骤。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执行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回退操作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（若触发）。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提交变更实施与验证报告。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（负责运维侧变更实施）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（负责需代码修改的变更实施）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重大变更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请求进行集体评审。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评估变更的风险、影响、资源需求及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回退计划的可行性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提供批准、拒绝或修改后重审的决策建议。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核心成员（常设）：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变更经理（数智运营部经理）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研究总院经理（或指派技术负责人）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质量管理部经理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扩展成员（按需邀请）：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相关运维项目经理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客户代表（如合同约定）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独立监督变更管理流程的合规性。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定期审计变更记录，确保与配置管理（CMDB）信息一致。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参与CAB会议，从质量保证体系角度提出风险意见。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将变更成功率、回退率等指标纳入质量报告。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负责将已关闭的变更记录、技术方案及复盘总结，整理并归档至公司知识库。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确保变更相关知识的可检索和复用。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数智运营部-服务知识专员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在变更实施后，根据最终结果，更新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配置管理数据库（CMDB）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中相关配置项的信息。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确保配置信息的准确性。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（此职责可由质量管理部或数智运营部指定专人兼任，或由执行变更的工程师在流程中负责更新）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8" w:name="_Toc30045"/>
      <w:r>
        <w:rPr>
          <w:rFonts w:hint="eastAsia"/>
          <w:lang w:val="en-US" w:eastAsia="zh-CN"/>
        </w:rPr>
        <w:t>变更分类与分级</w:t>
      </w:r>
      <w:bookmarkEnd w:id="8"/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29295"/>
      <w:r>
        <w:rPr>
          <w:rFonts w:hint="eastAsia"/>
          <w:lang w:val="en-US" w:eastAsia="zh-CN"/>
        </w:rPr>
        <w:t>变更分类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 低风险、预授权的例行变更。流程简化，由变更经理快速审批。（例：用户权限批量维护、已知补丁安装）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 为处理重大故障（P0/P1事件）或安全漏洞，必须立即实施的变更。遵循“事后补票”原则，但必须记录、评估并事后评审。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 高风险、影响范围广或涉及核心架构修改的变更。必须提交CAB会议评审，并经高级管理层批准。（例：核心数据库版本升级、微服务架构重构）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7861"/>
      <w:r>
        <w:rPr>
          <w:rFonts w:hint="eastAsia"/>
          <w:lang w:val="en-US" w:eastAsia="zh-CN"/>
        </w:rPr>
        <w:t>变更优先级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优先级由 影响度 和 紧急度 矩阵决定，指导审批和实施排期：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P1-紧急： 需立即处理，如解决导致系统宕机的缺陷。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P2-高： 需在预定维护窗口内尽快处理。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P3-普通： 按计划排期处理。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8034"/>
      <w:r>
        <w:rPr>
          <w:rFonts w:hint="eastAsia"/>
          <w:lang w:val="en-US" w:eastAsia="zh-CN"/>
        </w:rPr>
        <w:t>变更管理流程核心环节</w:t>
      </w:r>
      <w:bookmarkEnd w:id="11"/>
    </w:p>
    <w:p>
      <w:pPr>
        <w:pStyle w:val="2"/>
        <w:bidi w:val="0"/>
        <w:rPr>
          <w:rFonts w:hint="eastAsia"/>
          <w:lang w:val="en-US" w:eastAsia="zh-CN"/>
        </w:rPr>
      </w:pPr>
      <w:bookmarkStart w:id="12" w:name="_Toc32016"/>
      <w:r>
        <w:rPr>
          <w:rFonts w:hint="eastAsia"/>
          <w:lang w:val="en-US" w:eastAsia="zh-CN"/>
        </w:rPr>
        <w:t>变更申请与记录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所有变更必须通过运维管理平台提交《变更请求单》（RFC），包含变更目的、范围、详细方案、回退计划、测试方案、预计实施时间与时长。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13397"/>
      <w:r>
        <w:rPr>
          <w:rFonts w:hint="eastAsia"/>
          <w:lang w:val="en-US" w:eastAsia="zh-CN"/>
        </w:rPr>
        <w:t>变更评估与审批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 变更经理依据预定义标准直接审批。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 召开CAB会议，评估技术风险、业务影响、资源需求。重点评审回退计划的可行性。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 可先口头授权实施，但负责人必须在规定时间内（如事后2小时内）补全RFC记录。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3909"/>
      <w:r>
        <w:rPr>
          <w:rFonts w:hint="eastAsia"/>
          <w:lang w:val="en-US" w:eastAsia="zh-CN"/>
        </w:rPr>
        <w:t>变更规划与协调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制定详细的实施计划，包括具体步骤、责任人、时间点、沟通计划。必须明确回退触发条件和执行人。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6412"/>
      <w:r>
        <w:rPr>
          <w:rFonts w:hint="eastAsia"/>
          <w:lang w:val="en-US" w:eastAsia="zh-CN"/>
        </w:rPr>
        <w:t>变更实施、验证与回退</w:t>
      </w:r>
      <w:bookmarkEnd w:id="1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预检查：实施前备份所有相关配置、数据。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分步实施：严格按照方案执行，每一步进行验证。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监控与验证：实施后，对系统功能、性能、业务指标进行监控验证。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回退机制：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触发条件：明确何种情况触发回退（如：核心功能失效、性能指标严重下降、XX分钟内无法修复）。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回退执行：执行人按预定的回退步骤迅速操作，恢复至变更前状态。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回退验证：验证服务是否完全恢复，业务影响是否终止。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实施报告：无论成功与否，均需记录实施过程、结果、遇到的意外及回退情况。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9349"/>
      <w:r>
        <w:rPr>
          <w:rFonts w:hint="eastAsia"/>
          <w:lang w:val="en-US" w:eastAsia="zh-CN"/>
        </w:rPr>
        <w:t>变更回顾与关闭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成功变更：由变更经理关闭RFC，更新相关配置信息（CMDB），将经验沉淀至服务知识。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失败/回退变更：必须召开事后复盘会议，分析失败原因，评估回退流程有效性，形成改进措施。这是持续改进的关键输入。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24511"/>
      <w:r>
        <w:rPr>
          <w:rFonts w:hint="eastAsia"/>
          <w:lang w:val="en-US" w:eastAsia="zh-CN"/>
        </w:rPr>
        <w:t>与其他流程的接口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事件管理：为恢复服务可能触发紧急变更。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问题管理：问题根源的根治方案通常通过变更流程实施。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配置管理：变更实施后，必须同步更新配置管理数据库（CMDB）。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发布管理：大型软件版本的部署遵循发布管理流程，作为一项特殊的重大变更进行管理。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9693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28"/>
        <w:gridCol w:w="378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9" w:name="_Toc32445"/>
      <w:r>
        <w:rPr>
          <w:rFonts w:hint="eastAsia"/>
          <w:lang w:val="en-US" w:eastAsia="zh-CN"/>
        </w:rPr>
        <w:t>附则</w:t>
      </w:r>
      <w:bookmarkEnd w:id="1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本制度由数智运营部负责解释与修订，自发布之日起执行。所有相关人员必须严格遵守。</w:t>
      </w:r>
    </w:p>
    <w:p>
      <w:pPr>
        <w:pStyle w:val="a1"/>
        <w:rPr>
          <w:rFonts w:hint="eastAsia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CEB4D1"/>
    <w:multiLevelType w:val="singleLevel"/>
    <w:tmpl w:val="CACEB4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1064</Words>
  <Characters>1169</Characters>
  <Application>Microsoft Office Word</Application>
  <DocSecurity>0</DocSecurity>
  <Lines>0</Lines>
  <Paragraphs>0</Paragraphs>
  <ScaleCrop>false</ScaleCrop>
  <Company/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