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15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8542"/>
      <w:r>
        <w:rPr>
          <w:rFonts w:hint="eastAsia"/>
          <w:lang w:val="en-US" w:eastAsia="zh-CN"/>
        </w:rPr>
        <w:t>配置管理制度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_Toc11154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_Toc18542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配置管理制度</w:t>
          </w:r>
          <w:r>
            <w:tab/>
          </w:r>
          <w:r>
            <w:fldChar w:fldCharType="begin"/>
          </w:r>
          <w:r>
            <w:instrText xml:space="preserve"> PAGEREF _Toc18542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_Toc18320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_Toc18320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_Toc9786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_Toc7805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_Toc7805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_Toc16287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_Toc16287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_Toc10857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_Toc10857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_Toc31655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核心管理活动</w:t>
          </w:r>
          <w:r>
            <w:tab/>
          </w:r>
          <w:r>
            <w:fldChar w:fldCharType="begin"/>
          </w:r>
          <w:r>
            <w:instrText xml:space="preserve"> PAGEREF _Toc31655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_Toc7818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配置项识别与建模</w:t>
          </w:r>
          <w:r>
            <w:tab/>
          </w:r>
          <w:r>
            <w:fldChar w:fldCharType="begin"/>
          </w:r>
          <w:r>
            <w:instrText xml:space="preserve"> PAGEREF _Toc7818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_Toc20415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配置信息录入与维护</w:t>
          </w:r>
          <w:r>
            <w:tab/>
          </w:r>
          <w:r>
            <w:fldChar w:fldCharType="begin"/>
          </w:r>
          <w:r>
            <w:instrText xml:space="preserve"> PAGEREF _Toc20415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_Toc5495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配置状态报告</w:t>
          </w:r>
          <w:r>
            <w:tab/>
          </w:r>
          <w:r>
            <w:fldChar w:fldCharType="begin"/>
          </w:r>
          <w:r>
            <w:instrText xml:space="preserve"> PAGEREF _Toc5495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配置审计</w:t>
          </w:r>
          <w:r>
            <w:tab/>
          </w:r>
          <w:r>
            <w:fldChar w:fldCharType="begin"/>
          </w:r>
          <w:r>
            <w:instrText xml:space="preserve"> PAGEREF _Toc883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_Toc23170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审计类型与周期</w:t>
          </w:r>
          <w:r>
            <w:tab/>
          </w:r>
          <w:r>
            <w:fldChar w:fldCharType="begin"/>
          </w:r>
          <w:r>
            <w:instrText xml:space="preserve"> PAGEREF _Toc23170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_Toc5890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审计流程</w:t>
          </w:r>
          <w:r>
            <w:tab/>
          </w:r>
          <w:r>
            <w:fldChar w:fldCharType="begin"/>
          </w:r>
          <w:r>
            <w:instrText xml:space="preserve"> PAGEREF _Toc5890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_Toc28271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_Toc28271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_Toc2961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_Toc11102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8320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9786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中配置项的管理，建立并维护一套准确、可信的配置管理数据库，为事件管理、问题管理、变更管理、发布管理等流程提供可靠的信息支撑，保障服务交付的稳定性与运维决策的有效性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7805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本制度适用于公司所有软件运维服务项目中，纳入管理范围内的所有配置项，主要包括：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应用服务类： 应用程序、微服务、API接口、前端页面。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数据与中间件类： 数据库实例、缓存服务、消息队列、ETL流程。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运行环境类： 服务器（含虚拟机/容器）操作系统、运行时环境、配置文件、环境变量。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工具与文档类： 监控工具账号、运维脚本、架构图、部署文档。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逻辑实体类： 客户组织机构、关键业务逻辑单元、服务目录条目。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6287"/>
      <w:r>
        <w:rPr>
          <w:rFonts w:hint="default"/>
          <w:lang w:val="en-US" w:eastAsia="zh-CN"/>
        </w:rPr>
        <w:t>原则</w:t>
      </w:r>
      <w:bookmarkEnd w:id="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权威单一来源： 配置管理数据库是配置项信息的唯一权威来源。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全程跟踪： 配置项在整个生命周期内的状态和关系变化必须被记录。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受控变更： 所有配置项的变更必须通过变更管理流程驱动。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定期审计： 必须定期对CMDB的准确性进行审计与验证。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0857"/>
      <w:r>
        <w:rPr>
          <w:rFonts w:hint="default"/>
          <w:lang w:val="en-US" w:eastAsia="zh-CN"/>
        </w:rPr>
        <w:t>角色与职责</w:t>
      </w:r>
      <w:bookmarkEnd w:id="7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0"/>
        <w:gridCol w:w="4196"/>
        <w:gridCol w:w="3698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制定并维护配置管理策略、流程与标准。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监督管理CMDB的整体健康度与数据质量。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审批配置项分类、属性及关系模型的变更。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4. 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组织并主导定期的配置审计活动。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（总体负责）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负责CMDB的日常操作，执行配置项的登记、更新、退役。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审核并执行来自变更流程的配置信息更新请求。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定期生成配置状态报告。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4. 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执行具体的配置审计与数据验证工作。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（通常由质量管理部专员或数智运营部指定骨干工程师兼任）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配置项责任人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确保所负责配置项信息的真实性与及时性。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在配置发生变更后，主动或按要求向配置管理员提供准确信息。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配合完成配置审计的现场验证。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（对服务整体配置负责）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运维工程师/开发工程师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（对具体技术组件负责）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监督本制度的执行情况与流程合规性。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2. 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参与配置审计，并对审计发现问题的整改进行跟踪验证。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8" w:name="_Toc31655"/>
      <w:r>
        <w:rPr>
          <w:rFonts w:hint="default"/>
          <w:lang w:val="en-US" w:eastAsia="zh-CN"/>
        </w:rPr>
        <w:t>核心管理活动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7818"/>
      <w:r>
        <w:rPr>
          <w:rFonts w:hint="default"/>
          <w:lang w:val="en-US" w:eastAsia="zh-CN"/>
        </w:rPr>
        <w:t>配置项识别与建模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识别范围： 根据服务合同与SLA，确定需要管理的配置项及其颗粒度。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定义属性： 为每类配置项定义关键属性（如名称、版本、IP/域名、负责人、状态）。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定义关系： 明确配置项之间的逻辑与依赖关系（如“运行于”、“连接至”、“依赖”）。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0415"/>
      <w:r>
        <w:rPr>
          <w:rFonts w:hint="default"/>
          <w:lang w:val="en-US" w:eastAsia="zh-CN"/>
        </w:rPr>
        <w:t>配置信息录入与维护</w:t>
      </w:r>
      <w:bookmarkEnd w:id="1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初始入库： 新项目启动或新服务上线时，由配置项责任人提供信息，配置管理员统一初始化录入CMDB。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日常更新： 所有配置项的变更必须经由变更管理流程触发。变更实施后，由变更实施人（工程师）或配置管理员依据变更结果更新CMDB。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状态管理： 配置项状态（如“设计中”、“运行中”、“已下线”、“已归档”）需随其生命周期及时更新。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5495"/>
      <w:r>
        <w:rPr>
          <w:rFonts w:hint="default"/>
          <w:lang w:val="en-US" w:eastAsia="zh-CN"/>
        </w:rPr>
        <w:t>配置状态报告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定期生成并分发配置状态报告、配置项关系图等，供项目管理、容量规划及风险分析使用。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883"/>
      <w:r>
        <w:rPr>
          <w:rFonts w:hint="default"/>
          <w:lang w:val="en-US" w:eastAsia="zh-CN"/>
        </w:rPr>
        <w:t>配置审计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为确保CMDB数据的准确性，必须定期执行配置审计。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3170"/>
      <w:r>
        <w:rPr>
          <w:rFonts w:hint="default"/>
          <w:lang w:val="en-US" w:eastAsia="zh-CN"/>
        </w:rPr>
        <w:t>审计类型与周期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全面审计：每年至少进行一次，覆盖所有在管配置项，验证其属性、关系及状态的准确性。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专项审计：在以下情况下必须进行：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重大项目上线或下线后。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重大变更实施后。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发生重大事件，怀疑与配置信息不准确有关时。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抽样审计：每季度进行一次，随机抽取不低于10%的关键配置项（如核心应用、数据库）进行深度验证。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5890"/>
      <w:r>
        <w:rPr>
          <w:rFonts w:hint="default"/>
          <w:lang w:val="en-US" w:eastAsia="zh-CN"/>
        </w:rPr>
        <w:t>审计流程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计划：配置管理负责人制定审计计划，明确范围、方法和时间。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执行：配置管理员协同配置项责任人，比对CMDB记录与实际环境。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分析：记录差异，分析原因（如未授权变更、流程未遵循、录入错误）。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纠正：针对差异发起变更请求（RFC）以修正CMDB，或纠正不合规的实际配置。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报告：编制《配置审计报告》，包括审计结果、差异分析、纠正措施及改进建议，提交至质量管理部及管理层。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28271"/>
      <w:r>
        <w:rPr>
          <w:rFonts w:hint="default"/>
          <w:lang w:val="en-US" w:eastAsia="zh-CN"/>
        </w:rPr>
        <w:t>与其他流程的接口</w:t>
      </w:r>
      <w:bookmarkEnd w:id="1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事件/问题管理：在处理事件和问题时，应关联相关配置项，利用其关系图辅助根因定位。若发现配置信息错误，应触发CMDB更新流程。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变更管理：核心接口。所有变更请求（RFC）必须识别受影响配置项。变更实施成功后，必须同步更新CMDB，否则变更流程不得关闭。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发布管理：发布新版本后，必须更新相关应用程序、中间件等配置项的版本属性。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2961"/>
      <w:r>
        <w:rPr>
          <w:rFonts w:hint="eastAsia"/>
          <w:lang w:val="en-US" w:eastAsia="zh-CN"/>
        </w:rPr>
        <w:t>考核指标</w:t>
      </w:r>
      <w:bookmarkEnd w:id="16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1"/>
        <w:gridCol w:w="984"/>
        <w:gridCol w:w="3624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配置数据的准确率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（配置数据匹配数/配置数据总数）*100%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半年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7" w:name="_Toc11102"/>
      <w:r>
        <w:rPr>
          <w:rFonts w:hint="default"/>
          <w:lang w:val="en-US" w:eastAsia="zh-CN"/>
        </w:rPr>
        <w:t>附则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本制度由数智运营部负责解释与修订，自发布之日起执行。所有项目必须依据本制度建立和维护项目级配置管理子集。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1946</Words>
  <Characters>2099</Characters>
  <Application>Microsoft Office Word</Application>
  <DocSecurity>0</DocSecurity>
  <Lines>0</Lines>
  <Paragraphs>0</Paragraphs>
  <ScaleCrop>false</ScaleCrop>
  <Company/>
  <LinksUpToDate>false</LinksUpToDate>
  <CharactersWithSpaces>2191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2026-01-28T12:55:06Z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