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2610"/>
      <w:r>
        <w:drawing>
          <wp:anchor distT="0" distB="0" distL="114300" distR="114300" simplePos="0" relativeHeight="251660288"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5"/>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6">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2391"/>
      <w:r>
        <w:rPr>
          <w:rFonts w:hint="eastAsia"/>
          <w:lang w:val="en-US" w:eastAsia="zh-CN"/>
        </w:rPr>
        <w:t>服务可用性和连续性管理制度</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eastAsia"/>
          <w:sz w:val="24"/>
          <w:szCs w:val="24"/>
          <w:lang w:val="en-US" w:eastAsia="zh-CN"/>
        </w:rPr>
      </w:pPr>
      <w:r>
        <w:rPr>
          <w:rFonts w:ascii="宋体" w:eastAsia="宋体" w:hAnsi="宋体" w:cs="宋体"/>
          <w:b/>
          <w:bCs/>
          <w:spacing w:val="-3"/>
          <w:sz w:val="24"/>
          <w:szCs w:val="24"/>
        </w:rPr>
        <w:t>文件编号：</w:t>
      </w:r>
      <w:r>
        <w:rPr>
          <w:rFonts w:ascii="宋体" w:eastAsia="宋体" w:hAnsi="宋体" w:cs="宋体" w:hint="eastAsia"/>
          <w:b/>
          <w:bCs/>
          <w:spacing w:val="-3"/>
          <w:sz w:val="24"/>
          <w:szCs w:val="24"/>
          <w:lang w:val="en-US" w:eastAsia="zh-CN"/>
        </w:rPr>
        <w:t>JXTX</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6</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9</w:t>
      </w:r>
      <w:bookmarkStart w:id="2" w:name="_GoBack"/>
      <w:bookmarkEnd w:id="2"/>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数智运营部</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涂志云</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317"/>
        <w:gridCol w:w="972"/>
        <w:gridCol w:w="1575"/>
        <w:gridCol w:w="1829"/>
        <w:gridCol w:w="1606"/>
        <w:gridCol w:w="915"/>
      </w:tblGrid>
      <w:tr>
        <w:tblPrEx>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hAnsi="宋体" w:cs="宋体" w:hint="eastAsia"/>
                <w:spacing w:val="-14"/>
                <w:sz w:val="20"/>
                <w:szCs w:val="20"/>
                <w:lang w:val="en-US" w:eastAsia="zh-CN"/>
              </w:rPr>
              <w:t>修订</w:t>
            </w:r>
            <w:r>
              <w:rPr>
                <w:rFonts w:ascii="宋体" w:eastAsia="宋体" w:hAnsi="宋体" w:cs="宋体"/>
                <w:spacing w:val="-14"/>
                <w:sz w:val="20"/>
                <w:szCs w:val="20"/>
              </w:rPr>
              <w:t>日期</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hint="eastAsia"/>
                <w:spacing w:val="7"/>
                <w:sz w:val="20"/>
                <w:szCs w:val="20"/>
                <w:lang w:val="en-US" w:eastAsia="zh-CN"/>
              </w:rPr>
            </w:pPr>
            <w:r>
              <w:rPr>
                <w:rFonts w:ascii="宋体" w:hAnsi="宋体" w:cs="宋体" w:hint="eastAsia"/>
                <w:spacing w:val="7"/>
                <w:sz w:val="20"/>
                <w:szCs w:val="20"/>
                <w:lang w:val="en-US" w:eastAsia="zh-CN"/>
              </w:rPr>
              <w:t>修订人</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hAnsi="宋体" w:cs="宋体" w:hint="default"/>
                <w:spacing w:val="7"/>
                <w:sz w:val="20"/>
                <w:szCs w:val="20"/>
                <w:lang w:val="en-US" w:eastAsia="zh-CN"/>
              </w:rPr>
            </w:pPr>
            <w:r>
              <w:rPr>
                <w:rFonts w:ascii="宋体" w:hAnsi="宋体" w:cs="宋体" w:hint="eastAsia"/>
                <w:spacing w:val="7"/>
                <w:sz w:val="20"/>
                <w:szCs w:val="20"/>
                <w:lang w:val="en-US" w:eastAsia="zh-CN"/>
              </w:rPr>
              <w:t>审批人</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8214" w:type="dxa"/>
          <w:jc w:val="center"/>
          <w:tblLayout w:type="fixed"/>
          <w:tblCellMar>
            <w:top w:w="0" w:type="dxa"/>
            <w:left w:w="0" w:type="dxa"/>
            <w:bottom w:w="0" w:type="dxa"/>
            <w:right w:w="0" w:type="dxa"/>
          </w:tblCellMar>
        </w:tblPrEx>
        <w:trPr>
          <w:trHeight w:val="516"/>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rPr>
            </w:pPr>
            <w:r>
              <w:rPr>
                <w:rFonts w:ascii="宋体" w:eastAsia="宋体" w:hAnsi="宋体" w:cs="宋体"/>
                <w:spacing w:val="3"/>
                <w:position w:val="1"/>
                <w:sz w:val="20"/>
                <w:szCs w:val="20"/>
              </w:rPr>
              <w:t>2025.</w:t>
            </w:r>
            <w:r>
              <w:rPr>
                <w:rFonts w:ascii="宋体" w:hAnsi="宋体" w:cs="宋体" w:hint="eastAsia"/>
                <w:spacing w:val="3"/>
                <w:position w:val="1"/>
                <w:sz w:val="20"/>
                <w:szCs w:val="20"/>
                <w:lang w:val="en-US" w:eastAsia="zh-CN"/>
              </w:rPr>
              <w:t>1</w:t>
            </w:r>
            <w:r>
              <w:rPr>
                <w:rFonts w:ascii="宋体" w:eastAsia="宋体" w:hAnsi="宋体" w:cs="宋体"/>
                <w:spacing w:val="3"/>
                <w:position w:val="1"/>
                <w:sz w:val="20"/>
                <w:szCs w:val="20"/>
              </w:rPr>
              <w:t>.</w:t>
            </w:r>
            <w:r>
              <w:rPr>
                <w:rFonts w:ascii="宋体" w:hAnsi="宋体" w:cs="宋体" w:hint="eastAsia"/>
                <w:spacing w:val="3"/>
                <w:position w:val="1"/>
                <w:sz w:val="20"/>
                <w:szCs w:val="20"/>
                <w:lang w:val="en-US" w:eastAsia="zh-CN"/>
              </w:rPr>
              <w:t>10</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200"/>
                <w:kern w:val="0"/>
                <w:sz w:val="20"/>
                <w:szCs w:val="20"/>
              </w:rPr>
              <w:t>新</w:t>
            </w:r>
            <w:r>
              <w:rPr>
                <w:rFonts w:ascii="宋体" w:eastAsia="宋体" w:hAnsi="宋体" w:cs="宋体"/>
                <w:spacing w:val="0"/>
                <w:kern w:val="0"/>
                <w:sz w:val="20"/>
                <w:szCs w:val="20"/>
              </w:rPr>
              <w:t>建</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Theme="minorAscii" w:eastAsiaTheme="minorEastAsia" w:hAnsiTheme="minorAscii" w:hint="eastAsia"/>
                <w:spacing w:val="0"/>
                <w:kern w:val="0"/>
                <w:sz w:val="21"/>
                <w:vertAlign w:val="baseline"/>
                <w:lang w:val="en-US" w:eastAsia="zh-CN"/>
              </w:rPr>
              <w:t>徐超超</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宋体" w:eastAsia="宋体" w:hAnsi="宋体" w:cs="宋体" w:hint="eastAsia"/>
                <w:spacing w:val="200"/>
                <w:kern w:val="0"/>
                <w:sz w:val="20"/>
                <w:szCs w:val="20"/>
              </w:rPr>
              <w:t>何</w:t>
            </w:r>
            <w:r>
              <w:rPr>
                <w:rFonts w:asciiTheme="minorAscii" w:eastAsiaTheme="minorEastAsia" w:hAnsiTheme="minorAscii" w:hint="eastAsia"/>
                <w:spacing w:val="0"/>
                <w:kern w:val="0"/>
                <w:sz w:val="21"/>
                <w:vertAlign w:val="baseline"/>
                <w:lang w:val="en-US" w:eastAsia="zh-CN"/>
              </w:rPr>
              <w:t>峻</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asciiTheme="minorAscii" w:eastAsiaTheme="minorEastAsia" w:hAnsiTheme="minorAscii" w:hint="eastAsia"/>
                <w:spacing w:val="0"/>
                <w:kern w:val="0"/>
                <w:sz w:val="21"/>
                <w:vertAlign w:val="baseline"/>
                <w:lang w:val="en-US" w:eastAsia="zh-CN"/>
              </w:rPr>
              <w:t>涂志云</w:t>
            </w: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7"/>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_Toc12610 </w:instrText>
          </w:r>
          <w:r>
            <w:rPr>
              <w:rFonts w:ascii="宋体" w:eastAsia="宋体" w:hAnsi="宋体" w:cs="宋体" w:hint="eastAsia"/>
              <w:szCs w:val="24"/>
            </w:rPr>
            <w:fldChar w:fldCharType="separate"/>
          </w:r>
          <w:r>
            <w:rPr>
              <w:rFonts w:hint="eastAsia"/>
              <w:lang w:val="en-US" w:eastAsia="zh-CN"/>
            </w:rPr>
            <w:t>江西通信产业服务有限公司</w:t>
          </w:r>
          <w:r>
            <w:tab/>
          </w:r>
          <w:r>
            <w:fldChar w:fldCharType="begin"/>
          </w:r>
          <w:r>
            <w:instrText xml:space="preserve"> PAGEREF _Toc12610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_Toc22391 </w:instrText>
          </w:r>
          <w:r>
            <w:rPr>
              <w:rFonts w:ascii="宋体" w:eastAsia="宋体" w:hAnsi="宋体" w:cs="宋体" w:hint="eastAsia"/>
              <w:szCs w:val="24"/>
            </w:rPr>
            <w:fldChar w:fldCharType="separate"/>
          </w:r>
          <w:r>
            <w:rPr>
              <w:rFonts w:hint="eastAsia"/>
              <w:lang w:val="en-US" w:eastAsia="zh-CN"/>
            </w:rPr>
            <w:t>服务可用性和连续性管理制度</w:t>
          </w:r>
          <w:r>
            <w:tab/>
          </w:r>
          <w:r>
            <w:fldChar w:fldCharType="begin"/>
          </w:r>
          <w:r>
            <w:instrText xml:space="preserve"> PAGEREF _Toc22391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_Toc19419 </w:instrText>
          </w:r>
          <w:r>
            <w:rPr>
              <w:rFonts w:ascii="宋体" w:eastAsia="宋体" w:hAnsi="宋体" w:cs="宋体" w:hint="eastAsia"/>
              <w:szCs w:val="24"/>
            </w:rPr>
            <w:fldChar w:fldCharType="separate"/>
          </w:r>
          <w:r>
            <w:rPr>
              <w:rFonts w:hint="default"/>
              <w:lang w:val="en-US" w:eastAsia="zh-CN"/>
            </w:rPr>
            <w:t>1. 总则</w:t>
          </w:r>
          <w:r>
            <w:tab/>
          </w:r>
          <w:r>
            <w:fldChar w:fldCharType="begin"/>
          </w:r>
          <w:r>
            <w:instrText xml:space="preserve"> PAGEREF _Toc19419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_Toc4117 </w:instrText>
          </w:r>
          <w:r>
            <w:rPr>
              <w:rFonts w:ascii="宋体" w:eastAsia="宋体" w:hAnsi="宋体" w:cs="宋体" w:hint="eastAsia"/>
              <w:szCs w:val="24"/>
            </w:rPr>
            <w:fldChar w:fldCharType="separate"/>
          </w:r>
          <w:r>
            <w:rPr>
              <w:rFonts w:hint="default"/>
              <w:lang w:val="en-US" w:eastAsia="zh-CN"/>
            </w:rPr>
            <w:t>1.1. 目的</w:t>
          </w:r>
          <w:r>
            <w:tab/>
          </w:r>
          <w:r>
            <w:fldChar w:fldCharType="begin"/>
          </w:r>
          <w:r>
            <w:instrText xml:space="preserve"> PAGEREF _Toc4117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_Toc7137 </w:instrText>
          </w:r>
          <w:r>
            <w:rPr>
              <w:rFonts w:ascii="宋体" w:eastAsia="宋体" w:hAnsi="宋体" w:cs="宋体" w:hint="eastAsia"/>
              <w:szCs w:val="24"/>
            </w:rPr>
            <w:fldChar w:fldCharType="separate"/>
          </w:r>
          <w:r>
            <w:rPr>
              <w:rFonts w:hint="default"/>
              <w:lang w:val="en-US" w:eastAsia="zh-CN"/>
            </w:rPr>
            <w:t>1.2. 适用范围</w:t>
          </w:r>
          <w:r>
            <w:tab/>
          </w:r>
          <w:r>
            <w:fldChar w:fldCharType="begin"/>
          </w:r>
          <w:r>
            <w:instrText xml:space="preserve"> PAGEREF _Toc7137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_Toc30977 </w:instrText>
          </w:r>
          <w:r>
            <w:rPr>
              <w:rFonts w:ascii="宋体" w:eastAsia="宋体" w:hAnsi="宋体" w:cs="宋体" w:hint="eastAsia"/>
              <w:szCs w:val="24"/>
            </w:rPr>
            <w:fldChar w:fldCharType="separate"/>
          </w:r>
          <w:r>
            <w:rPr>
              <w:rFonts w:hint="default"/>
              <w:lang w:val="en-US" w:eastAsia="zh-CN"/>
            </w:rPr>
            <w:t>1.3. 原则</w:t>
          </w:r>
          <w:r>
            <w:tab/>
          </w:r>
          <w:r>
            <w:fldChar w:fldCharType="begin"/>
          </w:r>
          <w:r>
            <w:instrText xml:space="preserve"> PAGEREF _Toc30977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_Toc586 </w:instrText>
          </w:r>
          <w:r>
            <w:rPr>
              <w:rFonts w:ascii="宋体" w:eastAsia="宋体" w:hAnsi="宋体" w:cs="宋体" w:hint="eastAsia"/>
              <w:szCs w:val="24"/>
            </w:rPr>
            <w:fldChar w:fldCharType="separate"/>
          </w:r>
          <w:r>
            <w:rPr>
              <w:rFonts w:hint="default"/>
              <w:lang w:val="en-US" w:eastAsia="zh-CN"/>
            </w:rPr>
            <w:t>2. 定义与术语</w:t>
          </w:r>
          <w:r>
            <w:tab/>
          </w:r>
          <w:r>
            <w:fldChar w:fldCharType="begin"/>
          </w:r>
          <w:r>
            <w:instrText xml:space="preserve"> PAGEREF _Toc586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_Toc24039 </w:instrText>
          </w:r>
          <w:r>
            <w:rPr>
              <w:rFonts w:ascii="宋体" w:eastAsia="宋体" w:hAnsi="宋体" w:cs="宋体" w:hint="eastAsia"/>
              <w:szCs w:val="24"/>
            </w:rPr>
            <w:fldChar w:fldCharType="separate"/>
          </w:r>
          <w:r>
            <w:rPr>
              <w:rFonts w:hint="default"/>
              <w:lang w:val="en-US" w:eastAsia="zh-CN"/>
            </w:rPr>
            <w:t>3. 角色与职责</w:t>
          </w:r>
          <w:r>
            <w:tab/>
          </w:r>
          <w:r>
            <w:fldChar w:fldCharType="begin"/>
          </w:r>
          <w:r>
            <w:instrText xml:space="preserve"> PAGEREF _Toc24039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_Toc6228 </w:instrText>
          </w:r>
          <w:r>
            <w:rPr>
              <w:rFonts w:ascii="宋体" w:eastAsia="宋体" w:hAnsi="宋体" w:cs="宋体" w:hint="eastAsia"/>
              <w:szCs w:val="24"/>
            </w:rPr>
            <w:fldChar w:fldCharType="separate"/>
          </w:r>
          <w:r>
            <w:rPr>
              <w:rFonts w:hint="default"/>
              <w:lang w:val="en-US" w:eastAsia="zh-CN"/>
            </w:rPr>
            <w:t>4. 服务可用性管理</w:t>
          </w:r>
          <w:r>
            <w:tab/>
          </w:r>
          <w:r>
            <w:fldChar w:fldCharType="begin"/>
          </w:r>
          <w:r>
            <w:instrText xml:space="preserve"> PAGEREF _Toc6228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_Toc9776 </w:instrText>
          </w:r>
          <w:r>
            <w:rPr>
              <w:rFonts w:ascii="宋体" w:eastAsia="宋体" w:hAnsi="宋体" w:cs="宋体" w:hint="eastAsia"/>
              <w:szCs w:val="24"/>
            </w:rPr>
            <w:fldChar w:fldCharType="separate"/>
          </w:r>
          <w:r>
            <w:rPr>
              <w:rFonts w:hint="default"/>
              <w:lang w:val="en-US" w:eastAsia="zh-CN"/>
            </w:rPr>
            <w:t>4.1. 可用性目标设定与协商</w:t>
          </w:r>
          <w:r>
            <w:tab/>
          </w:r>
          <w:r>
            <w:fldChar w:fldCharType="begin"/>
          </w:r>
          <w:r>
            <w:instrText xml:space="preserve"> PAGEREF _Toc9776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_Toc5733 </w:instrText>
          </w:r>
          <w:r>
            <w:rPr>
              <w:rFonts w:ascii="宋体" w:eastAsia="宋体" w:hAnsi="宋体" w:cs="宋体" w:hint="eastAsia"/>
              <w:szCs w:val="24"/>
            </w:rPr>
            <w:fldChar w:fldCharType="separate"/>
          </w:r>
          <w:r>
            <w:rPr>
              <w:rFonts w:hint="default"/>
              <w:lang w:val="en-US" w:eastAsia="zh-CN"/>
            </w:rPr>
            <w:t>4.2. 可用性监控与测量</w:t>
          </w:r>
          <w:r>
            <w:tab/>
          </w:r>
          <w:r>
            <w:fldChar w:fldCharType="begin"/>
          </w:r>
          <w:r>
            <w:instrText xml:space="preserve"> PAGEREF _Toc5733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_Toc17628 </w:instrText>
          </w:r>
          <w:r>
            <w:rPr>
              <w:rFonts w:ascii="宋体" w:eastAsia="宋体" w:hAnsi="宋体" w:cs="宋体" w:hint="eastAsia"/>
              <w:szCs w:val="24"/>
            </w:rPr>
            <w:fldChar w:fldCharType="separate"/>
          </w:r>
          <w:r>
            <w:rPr>
              <w:rFonts w:hint="default"/>
              <w:lang w:val="en-US" w:eastAsia="zh-CN"/>
            </w:rPr>
            <w:t>4.3. 可用性分析、报告与改进</w:t>
          </w:r>
          <w:r>
            <w:tab/>
          </w:r>
          <w:r>
            <w:fldChar w:fldCharType="begin"/>
          </w:r>
          <w:r>
            <w:instrText xml:space="preserve"> PAGEREF _Toc17628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_Toc5857 </w:instrText>
          </w:r>
          <w:r>
            <w:rPr>
              <w:rFonts w:ascii="宋体" w:eastAsia="宋体" w:hAnsi="宋体" w:cs="宋体" w:hint="eastAsia"/>
              <w:szCs w:val="24"/>
            </w:rPr>
            <w:fldChar w:fldCharType="separate"/>
          </w:r>
          <w:r>
            <w:rPr>
              <w:rFonts w:hint="default"/>
              <w:lang w:val="en-US" w:eastAsia="zh-CN"/>
            </w:rPr>
            <w:t>5. 服务连续性管理</w:t>
          </w:r>
          <w:r>
            <w:tab/>
          </w:r>
          <w:r>
            <w:fldChar w:fldCharType="begin"/>
          </w:r>
          <w:r>
            <w:instrText xml:space="preserve"> PAGEREF _Toc5857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_Toc14465 </w:instrText>
          </w:r>
          <w:r>
            <w:rPr>
              <w:rFonts w:ascii="宋体" w:eastAsia="宋体" w:hAnsi="宋体" w:cs="宋体" w:hint="eastAsia"/>
              <w:szCs w:val="24"/>
            </w:rPr>
            <w:fldChar w:fldCharType="separate"/>
          </w:r>
          <w:r>
            <w:rPr>
              <w:rFonts w:hint="default"/>
              <w:lang w:val="en-US" w:eastAsia="zh-CN"/>
            </w:rPr>
            <w:t>5.1. 业务影响分析</w:t>
          </w:r>
          <w:r>
            <w:tab/>
          </w:r>
          <w:r>
            <w:fldChar w:fldCharType="begin"/>
          </w:r>
          <w:r>
            <w:instrText xml:space="preserve"> PAGEREF _Toc14465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_Toc15557 </w:instrText>
          </w:r>
          <w:r>
            <w:rPr>
              <w:rFonts w:ascii="宋体" w:eastAsia="宋体" w:hAnsi="宋体" w:cs="宋体" w:hint="eastAsia"/>
              <w:szCs w:val="24"/>
            </w:rPr>
            <w:fldChar w:fldCharType="separate"/>
          </w:r>
          <w:r>
            <w:rPr>
              <w:rFonts w:hint="default"/>
              <w:lang w:val="en-US" w:eastAsia="zh-CN"/>
            </w:rPr>
            <w:t>5.2. 连续性策略制定</w:t>
          </w:r>
          <w:r>
            <w:tab/>
          </w:r>
          <w:r>
            <w:fldChar w:fldCharType="begin"/>
          </w:r>
          <w:r>
            <w:instrText xml:space="preserve"> PAGEREF _Toc15557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_Toc9211 </w:instrText>
          </w:r>
          <w:r>
            <w:rPr>
              <w:rFonts w:ascii="宋体" w:eastAsia="宋体" w:hAnsi="宋体" w:cs="宋体" w:hint="eastAsia"/>
              <w:szCs w:val="24"/>
            </w:rPr>
            <w:fldChar w:fldCharType="separate"/>
          </w:r>
          <w:r>
            <w:rPr>
              <w:rFonts w:hint="default"/>
              <w:lang w:val="en-US" w:eastAsia="zh-CN"/>
            </w:rPr>
            <w:t>5.3. 应急预案编制与维护</w:t>
          </w:r>
          <w:r>
            <w:tab/>
          </w:r>
          <w:r>
            <w:fldChar w:fldCharType="begin"/>
          </w:r>
          <w:r>
            <w:instrText xml:space="preserve"> PAGEREF _Toc9211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_Toc17417 </w:instrText>
          </w:r>
          <w:r>
            <w:rPr>
              <w:rFonts w:ascii="宋体" w:eastAsia="宋体" w:hAnsi="宋体" w:cs="宋体" w:hint="eastAsia"/>
              <w:szCs w:val="24"/>
            </w:rPr>
            <w:fldChar w:fldCharType="separate"/>
          </w:r>
          <w:r>
            <w:rPr>
              <w:rFonts w:hint="default"/>
              <w:lang w:val="en-US" w:eastAsia="zh-CN"/>
            </w:rPr>
            <w:t>5.4. 演练、评估与改进</w:t>
          </w:r>
          <w:r>
            <w:tab/>
          </w:r>
          <w:r>
            <w:fldChar w:fldCharType="begin"/>
          </w:r>
          <w:r>
            <w:instrText xml:space="preserve"> PAGEREF _Toc17417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_Toc3524 </w:instrText>
          </w:r>
          <w:r>
            <w:rPr>
              <w:rFonts w:ascii="宋体" w:eastAsia="宋体" w:hAnsi="宋体" w:cs="宋体" w:hint="eastAsia"/>
              <w:szCs w:val="24"/>
            </w:rPr>
            <w:fldChar w:fldCharType="separate"/>
          </w:r>
          <w:r>
            <w:rPr>
              <w:rFonts w:hint="default"/>
              <w:lang w:val="en-US" w:eastAsia="zh-CN"/>
            </w:rPr>
            <w:t>5.5. 应急响应与恢复</w:t>
          </w:r>
          <w:r>
            <w:tab/>
          </w:r>
          <w:r>
            <w:fldChar w:fldCharType="begin"/>
          </w:r>
          <w:r>
            <w:instrText xml:space="preserve"> PAGEREF _Toc3524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_Toc29200 </w:instrText>
          </w:r>
          <w:r>
            <w:rPr>
              <w:rFonts w:ascii="宋体" w:eastAsia="宋体" w:hAnsi="宋体" w:cs="宋体" w:hint="eastAsia"/>
              <w:szCs w:val="24"/>
            </w:rPr>
            <w:fldChar w:fldCharType="separate"/>
          </w:r>
          <w:r>
            <w:rPr>
              <w:rFonts w:hint="default"/>
              <w:lang w:val="en-US" w:eastAsia="zh-CN"/>
            </w:rPr>
            <w:t>6. 与其他流程的接口</w:t>
          </w:r>
          <w:r>
            <w:tab/>
          </w:r>
          <w:r>
            <w:fldChar w:fldCharType="begin"/>
          </w:r>
          <w:r>
            <w:instrText xml:space="preserve"> PAGEREF _Toc29200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_Toc802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考核指标</w:t>
          </w:r>
          <w:r>
            <w:tab/>
          </w:r>
          <w:r>
            <w:fldChar w:fldCharType="begin"/>
          </w:r>
          <w:r>
            <w:instrText xml:space="preserve"> PAGEREF _Toc802 \h </w:instrText>
          </w:r>
          <w:r>
            <w:fldChar w:fldCharType="separate"/>
          </w:r>
          <w:r>
            <w:t>8</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_Toc20154 </w:instrText>
          </w:r>
          <w:r>
            <w:rPr>
              <w:rFonts w:ascii="宋体" w:eastAsia="宋体" w:hAnsi="宋体" w:cs="宋体" w:hint="eastAsia"/>
              <w:szCs w:val="24"/>
            </w:rPr>
            <w:fldChar w:fldCharType="separate"/>
          </w:r>
          <w:r>
            <w:rPr>
              <w:rFonts w:hint="default"/>
              <w:lang w:val="en-US" w:eastAsia="zh-CN"/>
            </w:rPr>
            <w:t>8. 附则</w:t>
          </w:r>
          <w:r>
            <w:tab/>
          </w:r>
          <w:r>
            <w:fldChar w:fldCharType="begin"/>
          </w:r>
          <w:r>
            <w:instrText xml:space="preserve"> PAGEREF _Toc20154 \h </w:instrText>
          </w:r>
          <w:r>
            <w:fldChar w:fldCharType="separate"/>
          </w:r>
          <w:r>
            <w:t>8</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19419"/>
      <w:r>
        <w:rPr>
          <w:rFonts w:hint="default"/>
          <w:lang w:val="en-US" w:eastAsia="zh-CN"/>
        </w:rPr>
        <w:t>总则</w:t>
      </w:r>
      <w:bookmarkEnd w:id="3"/>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4117"/>
      <w:r>
        <w:rPr>
          <w:rFonts w:hint="default"/>
          <w:lang w:val="en-US" w:eastAsia="zh-CN"/>
        </w:rPr>
        <w:t>目的</w:t>
      </w:r>
      <w:bookmarkEnd w:id="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为确保公司提供的软件运维服务能够达成并维持与客户约定的可用性水平，并在发生重大中断时能迅速、有效地恢复服务，最大限度降低对客户业务的影响，保障服务的可靠性与韧性，特制定本制度。</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7137"/>
      <w:r>
        <w:rPr>
          <w:rFonts w:hint="default"/>
          <w:lang w:val="en-US" w:eastAsia="zh-CN"/>
        </w:rPr>
        <w:t>适用范围</w:t>
      </w:r>
      <w:bookmarkEnd w:id="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本制度适用于公司所有软件运维服务项目，涵盖从服务可用性目标管理、日常监控到服务连续性计划制定、演练及应急响应的全过程。</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30977"/>
      <w:r>
        <w:rPr>
          <w:rFonts w:hint="default"/>
          <w:lang w:val="en-US" w:eastAsia="zh-CN"/>
        </w:rPr>
        <w:t>原则</w:t>
      </w:r>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业务驱动：可用性目标与连续性策略必须基于客户的业务关键性和影响分析。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预防为主：通过主动监控、容量规划和风险控制，预防服务中断。</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明确分级：根据服务组件的重要性和恢复优先级，实施差异化的管理策略。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持续验证：定期通过演练和测试验证连续性计划的有效性和可行性。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闭环管理：建立从设计、实施、监控到评审、改进的完整管理闭环。</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586"/>
      <w:r>
        <w:rPr>
          <w:rFonts w:hint="default"/>
          <w:lang w:val="en-US" w:eastAsia="zh-CN"/>
        </w:rPr>
        <w:t>定义与术语</w:t>
      </w:r>
      <w:bookmarkEnd w:id="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服务可用性：在约定的服务时间内，服务组件或服务处于可运行状态的比例。通常以百分比表示。</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服务连续性：组织为确保在发生重大服务中断或灾难后，能在可接受的时间内恢复关键业务功能而采取的一系列策略和行动。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业务影响分析：识别关键业务功能、评估中断对这些功能造成的潜在影响以及确定恢复优先级和时限要求的过程。</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恢复时间目标：业务功能或服务在中断后必须恢复的最长时间。</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恢复点目标：业务功能或服务可容忍的最大数据丢失量（时间点）。</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24039"/>
      <w:r>
        <w:rPr>
          <w:rFonts w:hint="default"/>
          <w:lang w:val="en-US" w:eastAsia="zh-CN"/>
        </w:rPr>
        <w:t>角色与职责</w:t>
      </w:r>
      <w:bookmarkEnd w:id="8"/>
    </w:p>
    <w:tbl>
      <w:tblPr>
        <w:tblStyle w:val="TableNormal"/>
        <w:tblW w:w="9024"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
      <w:tblGrid>
        <w:gridCol w:w="2335"/>
        <w:gridCol w:w="4320"/>
        <w:gridCol w:w="2369"/>
      </w:tblGrid>
      <w:tr>
        <w:tblPrEx>
          <w:tblW w:w="9024"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Ex>
        <w:trPr>
          <w:tblHeader/>
        </w:trPr>
        <w:tc>
          <w:tcPr>
            <w:tcW w:w="2335"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角色</w:t>
            </w:r>
          </w:p>
        </w:tc>
        <w:tc>
          <w:tcPr>
            <w:tcW w:w="43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主要职责</w:t>
            </w:r>
          </w:p>
        </w:tc>
        <w:tc>
          <w:tcPr>
            <w:tcW w:w="2369"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对应岗位</w:t>
            </w:r>
          </w:p>
        </w:tc>
      </w:tr>
      <w:tr>
        <w:tblPrEx>
          <w:tblW w:w="9024" w:type="dxa"/>
          <w:tblInd w:w="0" w:type="dxa"/>
          <w:shd w:val="clear" w:color="auto" w:fill="auto"/>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服务连续性负责人</w:t>
            </w:r>
          </w:p>
        </w:tc>
        <w:tc>
          <w:tcPr>
            <w:tcW w:w="43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负责公司级服务连续性管理体系的建立与维护。</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审批重大连续性策略及预案。</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在重大事件中担任应急指挥决策者。</w:t>
            </w:r>
          </w:p>
        </w:tc>
        <w:tc>
          <w:tcPr>
            <w:tcW w:w="2369"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应急管理部负责人</w:t>
            </w:r>
          </w:p>
        </w:tc>
      </w:tr>
      <w:tr>
        <w:tblPrEx>
          <w:tblW w:w="9024" w:type="dxa"/>
          <w:tblInd w:w="0" w:type="dxa"/>
          <w:shd w:val="clear" w:color="auto" w:fill="auto"/>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可用性及连续性管理经理</w:t>
            </w:r>
          </w:p>
        </w:tc>
        <w:tc>
          <w:tcPr>
            <w:tcW w:w="43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负责本制度的推行与日常管理。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组织业务影响分析、连续性策略制定与预案评审3. 协调组织跨部门连续性演练。</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监控与分析服务可用性数据，推动改进。</w:t>
            </w:r>
          </w:p>
        </w:tc>
        <w:tc>
          <w:tcPr>
            <w:tcW w:w="2369"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数智运营部经理</w:t>
            </w:r>
          </w:p>
        </w:tc>
      </w:tr>
      <w:tr>
        <w:tblPrEx>
          <w:tblW w:w="9024" w:type="dxa"/>
          <w:tblInd w:w="0" w:type="dxa"/>
          <w:shd w:val="clear" w:color="auto" w:fill="auto"/>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运维项目经理</w:t>
            </w:r>
          </w:p>
        </w:tc>
        <w:tc>
          <w:tcPr>
            <w:tcW w:w="43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负责项目内服务可用性目标的达成与监控。</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负责编制和维护所辖服务的《业务连续性预案》</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在应急响应中，作为现场恢复指挥官。</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参与演练并落实改进措施。</w:t>
            </w:r>
          </w:p>
        </w:tc>
        <w:tc>
          <w:tcPr>
            <w:tcW w:w="2369"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数智运营部-运维项目经理</w:t>
            </w:r>
          </w:p>
        </w:tc>
      </w:tr>
      <w:tr>
        <w:tblPrEx>
          <w:tblW w:w="9024" w:type="dxa"/>
          <w:tblInd w:w="0" w:type="dxa"/>
          <w:shd w:val="clear" w:color="auto" w:fill="auto"/>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运维工程师</w:t>
            </w:r>
          </w:p>
        </w:tc>
        <w:tc>
          <w:tcPr>
            <w:tcW w:w="43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执行具体的可用性监控、容量检查任务。</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负责技术层面应急预案的具体实施与恢复操作。</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参与演练，提供技术反馈。</w:t>
            </w:r>
          </w:p>
        </w:tc>
        <w:tc>
          <w:tcPr>
            <w:tcW w:w="2369"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数智运营部-运维工程师</w:t>
            </w:r>
          </w:p>
        </w:tc>
      </w:tr>
      <w:tr>
        <w:tblPrEx>
          <w:tblW w:w="9024" w:type="dxa"/>
          <w:tblInd w:w="0" w:type="dxa"/>
          <w:shd w:val="clear" w:color="auto" w:fill="auto"/>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研究总院</w:t>
            </w:r>
          </w:p>
        </w:tc>
        <w:tc>
          <w:tcPr>
            <w:tcW w:w="43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为高可用架构设计、数据备份与恢复方案提供技术支持。</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协助进行灾难恢复场景下的技术方案验证。</w:t>
            </w:r>
          </w:p>
        </w:tc>
        <w:tc>
          <w:tcPr>
            <w:tcW w:w="2369"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研究总院-开发/测试工程师</w:t>
            </w:r>
          </w:p>
        </w:tc>
      </w:tr>
      <w:tr>
        <w:tblPrEx>
          <w:tblW w:w="9024" w:type="dxa"/>
          <w:tblInd w:w="0" w:type="dxa"/>
          <w:shd w:val="clear" w:color="auto" w:fill="auto"/>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质量管理部</w:t>
            </w:r>
          </w:p>
        </w:tc>
        <w:tc>
          <w:tcPr>
            <w:tcW w:w="43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监督本制度执行情况，审计可用性数据与演练记录。</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参与连续性预案的评审。</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将可用性指标纳入质量报告。</w:t>
            </w:r>
          </w:p>
        </w:tc>
        <w:tc>
          <w:tcPr>
            <w:tcW w:w="2369"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质量管理部经理/专员</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6228"/>
      <w:r>
        <w:rPr>
          <w:rFonts w:hint="default"/>
          <w:lang w:val="en-US" w:eastAsia="zh-CN"/>
        </w:rPr>
        <w:t>服务可用性管理</w:t>
      </w:r>
      <w:bookmarkEnd w:id="9"/>
    </w:p>
    <w:p>
      <w:pPr>
        <w:pStyle w:val="2"/>
        <w:bidi w:val="0"/>
        <w:rPr>
          <w:rFonts w:hint="default"/>
          <w:lang w:val="en-US" w:eastAsia="zh-CN"/>
        </w:rPr>
      </w:pPr>
      <w:bookmarkStart w:id="10" w:name="_Toc9776"/>
      <w:r>
        <w:rPr>
          <w:rFonts w:hint="default"/>
          <w:lang w:val="en-US" w:eastAsia="zh-CN"/>
        </w:rPr>
        <w:t>可用性目标设定与协商</w:t>
      </w:r>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运维项目经理在与客户签订《服务级别协议》时，须依据《服务级别管理制度》，明确协商并定义可量化的服务可用性目标。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目标应分解至关键服务组件（如核心应用、数据库、API接口等），并考虑计划内维护时间的影响。</w:t>
      </w:r>
    </w:p>
    <w:p>
      <w:pPr>
        <w:pStyle w:val="2"/>
        <w:bidi w:val="0"/>
        <w:rPr>
          <w:rFonts w:hint="default"/>
          <w:lang w:val="en-US" w:eastAsia="zh-CN"/>
        </w:rPr>
      </w:pPr>
      <w:bookmarkStart w:id="11" w:name="_Toc5733"/>
      <w:r>
        <w:rPr>
          <w:rFonts w:hint="default"/>
          <w:lang w:val="en-US" w:eastAsia="zh-CN"/>
        </w:rPr>
        <w:t>可用性监控与测量</w:t>
      </w:r>
      <w:bookmarkEnd w:id="1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数智运营部应建立统一的监控平台，对达成SLA所需的核心服务组件进行7x24小时可用性状态监控。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测量方法必须明确定义，并确保监控数据准确、不可篡改。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所有导致服务不可用的事件（无论是否在SLA约束内），均需通过《事件管理制度》记录，作为可用性计算的基础。</w:t>
      </w:r>
    </w:p>
    <w:p>
      <w:pPr>
        <w:pStyle w:val="2"/>
        <w:bidi w:val="0"/>
        <w:rPr>
          <w:rFonts w:hint="default"/>
          <w:lang w:val="en-US" w:eastAsia="zh-CN"/>
        </w:rPr>
      </w:pPr>
      <w:bookmarkStart w:id="12" w:name="_Toc17628"/>
      <w:r>
        <w:rPr>
          <w:rFonts w:hint="default"/>
          <w:lang w:val="en-US" w:eastAsia="zh-CN"/>
        </w:rPr>
        <w:t>可用性分析、报告与改进</w:t>
      </w:r>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运维项目经理须在《服务报告》中定期（按月/季度）向客户和管理层报告可用性目标的达成情况。</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对未达成目标的情况，必须依据《问题管理制度》进行根因分析，并制定明确的改进措施。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通过趋势分析，预测潜在风险，并提前启动《变更管理》或《容量管理》流程进行优化。</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5857"/>
      <w:r>
        <w:rPr>
          <w:rFonts w:hint="default"/>
          <w:lang w:val="en-US" w:eastAsia="zh-CN"/>
        </w:rPr>
        <w:t>服务连续性管理</w:t>
      </w:r>
      <w:bookmarkEnd w:id="13"/>
    </w:p>
    <w:p>
      <w:pPr>
        <w:pStyle w:val="2"/>
        <w:bidi w:val="0"/>
        <w:rPr>
          <w:rFonts w:hint="default"/>
          <w:lang w:val="en-US" w:eastAsia="zh-CN"/>
        </w:rPr>
      </w:pPr>
      <w:bookmarkStart w:id="14" w:name="_Toc14465"/>
      <w:r>
        <w:rPr>
          <w:rFonts w:hint="default"/>
          <w:lang w:val="en-US" w:eastAsia="zh-CN"/>
        </w:rPr>
        <w:t>业务影响分析</w:t>
      </w:r>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针对核心服务项目，运维项目经理应至少每年组织一次业务影响分析，识别关键业务功能、最大可容忍中断时间及数据丢失量。</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BIA输出是制定连续性策略和恢复优先级的核心依据。</w:t>
      </w:r>
    </w:p>
    <w:p>
      <w:pPr>
        <w:pStyle w:val="2"/>
        <w:bidi w:val="0"/>
        <w:rPr>
          <w:rFonts w:hint="default"/>
          <w:lang w:val="en-US" w:eastAsia="zh-CN"/>
        </w:rPr>
      </w:pPr>
      <w:bookmarkStart w:id="15" w:name="_Toc15557"/>
      <w:r>
        <w:rPr>
          <w:rFonts w:hint="default"/>
          <w:lang w:val="en-US" w:eastAsia="zh-CN"/>
        </w:rPr>
        <w:t>连续性策略制定</w:t>
      </w:r>
      <w:bookmarkEnd w:id="1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基于BIA结果，制定恢复策略，可能包括：</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数据备份与恢复策略：明确备份频率、介质、存储位置和恢复验证要求。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系统冗余与高可用策略：对于RTO要求极短的服务，应考虑集群、负载均衡、异地多活等技术方案。</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备用站点策略：明确在主要场地失效时，启用备用工作场所或云环境的流程。</w:t>
      </w:r>
    </w:p>
    <w:p>
      <w:pPr>
        <w:pStyle w:val="2"/>
        <w:bidi w:val="0"/>
        <w:rPr>
          <w:rFonts w:hint="default"/>
          <w:lang w:val="en-US" w:eastAsia="zh-CN"/>
        </w:rPr>
      </w:pPr>
      <w:bookmarkStart w:id="16" w:name="_Toc9211"/>
      <w:r>
        <w:rPr>
          <w:rFonts w:hint="default"/>
          <w:lang w:val="en-US" w:eastAsia="zh-CN"/>
        </w:rPr>
        <w:t>应急预案编制与维护</w:t>
      </w:r>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运维项目经理负责牵头编制《服务连续性应急预案》，内容需包括：应急组织架构、启动条件、通信计划、详细的恢复步骤、回退方案等。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预案需经可用性及连续性管理经理组织评审，并报服务连续性负责人批准。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预案必须保持更新，任何可能影响预案有效性的《变更》实施后，都应评估并更新预案。</w:t>
      </w:r>
    </w:p>
    <w:p>
      <w:pPr>
        <w:pStyle w:val="2"/>
        <w:bidi w:val="0"/>
        <w:rPr>
          <w:rFonts w:hint="default"/>
          <w:lang w:val="en-US" w:eastAsia="zh-CN"/>
        </w:rPr>
      </w:pPr>
      <w:bookmarkStart w:id="17" w:name="_Toc17417"/>
      <w:r>
        <w:rPr>
          <w:rFonts w:hint="default"/>
          <w:lang w:val="en-US" w:eastAsia="zh-CN"/>
        </w:rPr>
        <w:t>演练、评估与改进</w:t>
      </w:r>
      <w:bookmarkEnd w:id="1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数智运营部应至少每年为每项核心服务组织一次应急预案演练。演练形式可为桌面推演或模拟实战。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演练后必须进行复盘，依据《问题管理制度》分析演练中暴露的缺陷，更新预案并落实改进措施。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演练记录和评估报告由质量管理部归档审计。</w:t>
      </w:r>
    </w:p>
    <w:p>
      <w:pPr>
        <w:pStyle w:val="2"/>
        <w:bidi w:val="0"/>
        <w:rPr>
          <w:rFonts w:hint="default"/>
          <w:lang w:val="en-US" w:eastAsia="zh-CN"/>
        </w:rPr>
      </w:pPr>
      <w:bookmarkStart w:id="18" w:name="_Toc3524"/>
      <w:r>
        <w:rPr>
          <w:rFonts w:hint="default"/>
          <w:lang w:val="en-US" w:eastAsia="zh-CN"/>
        </w:rPr>
        <w:t>应急响应与恢复</w:t>
      </w:r>
      <w:bookmarkEnd w:id="1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当发生符合预案启动条件的重大中断时，立即依据《事件管理制度》启动应急响应。</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应急指挥体系按预案运作，首要目标是按照RTO/RPO要求恢复关键服务。</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恢复后，须进行事后评审，完善预案。</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29200"/>
      <w:r>
        <w:rPr>
          <w:rFonts w:hint="default"/>
          <w:lang w:val="en-US" w:eastAsia="zh-CN"/>
        </w:rPr>
        <w:t>与其他流程的接口</w:t>
      </w:r>
      <w:bookmarkEnd w:id="1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服务级别管理：为可用性管理提供目标输入，为连续性管理提供RTO/RPO要求。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事件管理：是服务中断的感知和应急响应的触发入口。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问题管理：对导致可用性不足的重复性或重大事件进行根因分析，驱动架构改进。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变更管理：任何可能影响服务可用性或连续性能力的变更，必须经过严格评估和审批。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容量管理：确保有足够的资源冗余以支持连续性策略和高可用性目标。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配置管理：CMDB提供准确的资产关系图，是影响分析和恢复步骤制定的基础。</w:t>
      </w:r>
    </w:p>
    <w:p>
      <w:pPr>
        <w:rPr>
          <w:rFonts w:hint="eastAsia"/>
          <w:lang w:val="en-US" w:eastAsia="zh-CN"/>
        </w:rPr>
      </w:pPr>
      <w:r>
        <w:rPr>
          <w:rFonts w:hint="eastAsia"/>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0" w:name="_Toc802"/>
      <w:r>
        <w:rPr>
          <w:rFonts w:hint="eastAsia"/>
          <w:lang w:val="en-US" w:eastAsia="zh-CN"/>
        </w:rPr>
        <w:t>考核指标</w:t>
      </w:r>
      <w:bookmarkEnd w:id="20"/>
    </w:p>
    <w:tbl>
      <w:tblPr>
        <w:tblStyle w:val="TableNormal"/>
        <w:tblW w:w="7675" w:type="dxa"/>
        <w:tblInd w:w="96" w:type="dxa"/>
        <w:tblBorders>
          <w:top w:val="nil"/>
          <w:left w:val="nil"/>
          <w:bottom w:val="nil"/>
          <w:right w:val="nil"/>
          <w:insideH w:val="nil"/>
          <w:insideV w:val="nil"/>
        </w:tblBorders>
        <w:shd w:val="clear" w:color="auto" w:fill="auto"/>
        <w:tblCellMar>
          <w:top w:w="0" w:type="dxa"/>
          <w:left w:w="108" w:type="dxa"/>
          <w:bottom w:w="0" w:type="dxa"/>
          <w:right w:w="108" w:type="dxa"/>
        </w:tblCellMar>
      </w:tblPr>
      <w:tblGrid>
        <w:gridCol w:w="1963"/>
        <w:gridCol w:w="1356"/>
        <w:gridCol w:w="3300"/>
        <w:gridCol w:w="1056"/>
      </w:tblGrid>
      <w:tr>
        <w:tblPrEx>
          <w:tblW w:w="7675" w:type="dxa"/>
          <w:tblInd w:w="96" w:type="dxa"/>
          <w:tblBorders>
            <w:top w:val="nil"/>
            <w:left w:val="nil"/>
            <w:bottom w:val="nil"/>
            <w:right w:val="nil"/>
            <w:insideH w:val="nil"/>
            <w:insideV w:val="nil"/>
          </w:tblBorders>
          <w:shd w:val="clear" w:color="auto" w:fill="auto"/>
          <w:tblCellMar>
            <w:top w:w="0" w:type="dxa"/>
            <w:left w:w="108" w:type="dxa"/>
            <w:bottom w:w="0" w:type="dxa"/>
            <w:right w:w="108" w:type="dxa"/>
          </w:tblCellMar>
        </w:tblPrEx>
        <w:trPr>
          <w:trHeight w:val="493"/>
        </w:trPr>
        <w:tc>
          <w:tcPr>
            <w:tcW w:w="1963"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KPI</w:t>
            </w:r>
          </w:p>
        </w:tc>
        <w:tc>
          <w:tcPr>
            <w:tcW w:w="1356"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目标值</w:t>
            </w:r>
          </w:p>
        </w:tc>
        <w:tc>
          <w:tcPr>
            <w:tcW w:w="3300"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计算公式/方法</w:t>
            </w:r>
          </w:p>
        </w:tc>
        <w:tc>
          <w:tcPr>
            <w:tcW w:w="1056"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频度</w:t>
            </w:r>
          </w:p>
        </w:tc>
      </w:tr>
      <w:tr>
        <w:tblPrEx>
          <w:tblW w:w="7675" w:type="dxa"/>
          <w:tblInd w:w="96" w:type="dxa"/>
          <w:shd w:val="clear" w:color="auto" w:fill="auto"/>
          <w:tblCellMar>
            <w:top w:w="0" w:type="dxa"/>
            <w:left w:w="108" w:type="dxa"/>
            <w:bottom w:w="0" w:type="dxa"/>
            <w:right w:w="108" w:type="dxa"/>
          </w:tblCellMar>
        </w:tblPrEx>
        <w:trPr>
          <w:trHeight w:val="493"/>
        </w:trPr>
        <w:tc>
          <w:tcPr>
            <w:tcW w:w="196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服务可用率</w:t>
            </w:r>
          </w:p>
        </w:tc>
        <w:tc>
          <w:tcPr>
            <w:tcW w:w="135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≥90%</w:t>
            </w:r>
          </w:p>
        </w:tc>
        <w:tc>
          <w:tcPr>
            <w:tcW w:w="3300"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服务实际可用时间/服务计划可用时间*100%</w:t>
            </w:r>
          </w:p>
        </w:tc>
        <w:tc>
          <w:tcPr>
            <w:tcW w:w="105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月度</w:t>
            </w:r>
          </w:p>
        </w:tc>
      </w:tr>
      <w:tr>
        <w:tblPrEx>
          <w:tblW w:w="7675" w:type="dxa"/>
          <w:tblInd w:w="96" w:type="dxa"/>
          <w:shd w:val="clear" w:color="auto" w:fill="auto"/>
          <w:tblCellMar>
            <w:top w:w="0" w:type="dxa"/>
            <w:left w:w="108" w:type="dxa"/>
            <w:bottom w:w="0" w:type="dxa"/>
            <w:right w:w="108" w:type="dxa"/>
          </w:tblCellMar>
        </w:tblPrEx>
        <w:trPr>
          <w:trHeight w:val="493"/>
        </w:trPr>
        <w:tc>
          <w:tcPr>
            <w:tcW w:w="196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服务故障中断次数</w:t>
            </w:r>
          </w:p>
        </w:tc>
        <w:tc>
          <w:tcPr>
            <w:tcW w:w="135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≤1次</w:t>
            </w:r>
          </w:p>
        </w:tc>
        <w:tc>
          <w:tcPr>
            <w:tcW w:w="3300"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数量，因服务故障导致的服务中断次数</w:t>
            </w:r>
          </w:p>
        </w:tc>
        <w:tc>
          <w:tcPr>
            <w:tcW w:w="105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月度</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20154"/>
      <w:r>
        <w:rPr>
          <w:rFonts w:hint="default"/>
          <w:lang w:val="en-US" w:eastAsia="zh-CN"/>
        </w:rPr>
        <w:t>附则</w:t>
      </w:r>
      <w:bookmarkEnd w:id="2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本制度由数智运营部负责解释与修订。</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本制度自发布之日起生效。</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本制度涉及的《业务影响分析报告》、《服务连续性应急预案》等模板，由数智运营部会同应急管理部制定与维护。</w:t>
      </w:r>
    </w:p>
    <w:sectPr>
      <w:headerReference w:type="default" r:id="rId7"/>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header" Target="header1.xml" /><Relationship Id="rId8" Type="http://schemas.openxmlformats.org/officeDocument/2006/relationships/theme" Target="theme/theme1.xml" /><Relationship Id="rId9" Type="http://schemas.openxmlformats.org/officeDocument/2006/relationships/numbering" Target="numbering.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8</Pages>
  <Words>1139</Words>
  <Characters>1248</Characters>
  <Application>Microsoft Office Word</Application>
  <DocSecurity>0</DocSecurity>
  <Lines>0</Lines>
  <Paragraphs>0</Paragraphs>
  <ScaleCrop>false</ScaleCrop>
  <Company/>
  <LinksUpToDate>false</LinksUpToDate>
  <CharactersWithSpaces>1344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2026-02-01T20:52:49Z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