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69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079"/>
      <w:r>
        <w:rPr>
          <w:rFonts w:hint="eastAsia"/>
          <w:lang w:val="en-US" w:eastAsia="zh-CN"/>
        </w:rPr>
        <w:t>容量管</w:t>
      </w:r>
      <w:bookmarkStart w:id="2" w:name="_GoBack"/>
      <w:bookmarkEnd w:id="2"/>
      <w:r>
        <w:rPr>
          <w:rFonts w:hint="eastAsia"/>
          <w:lang w:val="en-US" w:eastAsia="zh-CN"/>
        </w:rPr>
        <w:t>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_Toc15692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容量管理制度</w:t>
          </w:r>
          <w:r>
            <w:tab/>
          </w:r>
          <w:r>
            <w:fldChar w:fldCharType="begin"/>
          </w:r>
          <w:r>
            <w:instrText xml:space="preserve"> PAGEREF _Toc6079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_Toc23486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_Toc13419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_Toc8282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_Toc8282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_Toc3800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定义与术语</w:t>
          </w:r>
          <w:r>
            <w:tab/>
          </w:r>
          <w:r>
            <w:fldChar w:fldCharType="begin"/>
          </w:r>
          <w:r>
            <w:instrText xml:space="preserve"> PAGEREF _Toc12270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_Toc15529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容量管理活动</w:t>
          </w:r>
          <w:r>
            <w:tab/>
          </w:r>
          <w:r>
            <w:fldChar w:fldCharType="begin"/>
          </w:r>
          <w:r>
            <w:instrText xml:space="preserve"> PAGEREF _Toc25975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容量规划与需求管理</w:t>
          </w:r>
          <w:r>
            <w:tab/>
          </w:r>
          <w:r>
            <w:fldChar w:fldCharType="begin"/>
          </w:r>
          <w:r>
            <w:instrText xml:space="preserve"> PAGEREF _Toc24894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容量监控与数据收集</w:t>
          </w:r>
          <w:r>
            <w:tab/>
          </w:r>
          <w:r>
            <w:fldChar w:fldCharType="begin"/>
          </w:r>
          <w:r>
            <w:instrText xml:space="preserve"> PAGEREF _Toc8642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容量分析与建模</w:t>
          </w:r>
          <w:r>
            <w:tab/>
          </w:r>
          <w:r>
            <w:fldChar w:fldCharType="begin"/>
          </w:r>
          <w:r>
            <w:instrText xml:space="preserve"> PAGEREF _Toc16735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容量预警与报告</w:t>
          </w:r>
          <w:r>
            <w:tab/>
          </w:r>
          <w:r>
            <w:fldChar w:fldCharType="begin"/>
          </w:r>
          <w:r>
            <w:instrText xml:space="preserve"> PAGEREF _Toc2300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容量优化与实施</w:t>
          </w:r>
          <w:r>
            <w:tab/>
          </w:r>
          <w:r>
            <w:fldChar w:fldCharType="begin"/>
          </w:r>
          <w:r>
            <w:instrText xml:space="preserve"> PAGEREF _Toc8444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评审与改进</w:t>
          </w:r>
          <w:r>
            <w:tab/>
          </w:r>
          <w:r>
            <w:fldChar w:fldCharType="begin"/>
          </w:r>
          <w:r>
            <w:instrText xml:space="preserve"> PAGEREF _Toc9701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_Toc9246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_Toc26503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_Toc29763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3486"/>
      <w:r>
        <w:rPr>
          <w:rFonts w:hint="default"/>
          <w:lang w:val="en-US" w:eastAsia="zh-CN"/>
        </w:rPr>
        <w:t>1. 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3419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、前瞻地管理软件运维服务所需的各种技术资源容量，确保以合理的成本，及时满足当前及未来的业务性能与可用性需求，预防因容量不足导致的性能劣化或服务中断，并为服务规划和投资决策提供数据支持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8282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本制度适用于公司所有软件运维服务项目中，对服务性能与稳定性有直接影响的关键资源容量的管理，主要包括但不限于：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计算资源：云服务器/虚拟机的CPU、内存利用率。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存储资源：数据库、文件系统、对象存储的容量与IOPS。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网络资源：带宽、连接数、网络延迟。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应用性能容量：应用服务实例数、线程池、数据库连接池、消息队列深度、API吞吐量与响应时间。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软件许可：关键中间件、数据库的许可或会话数限制。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3800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业务驱动：容量规划必须基于业务发展趋势和服务级别要求。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主动预防：通过持续监控与趋势分析，在性能问题发生前主动识别和解决容量瓶颈。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成本效益：在满足服务目标的前提下，寻求最优的容量配置方案，控制成本。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数据驱动：所有容量决策应基于准确、持续的监控数据和科学的分析模型。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闭环管理：建立“监控-分析-规划-实施-评审”的持续优化闭环。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2270"/>
      <w:r>
        <w:rPr>
          <w:rFonts w:hint="default"/>
          <w:lang w:val="en-US" w:eastAsia="zh-CN"/>
        </w:rPr>
        <w:t>定义与术语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容量管理：旨在确保以符合成本效益的方式，及时提供满足业务需求的IT资源能力的流程。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业务容量管理：关注未来业务计划对IT服务能力的需求，并将其转化为对技术资源的需求。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服务容量管理：关注和管理当前及未来IT服务的性能，确保达到既定的服务级别目标。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资源容量管理：关注和管理单个IT基础架构组件（如服务器、网络、数据库）的容量。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容量基线：在特定时间段内，反映正常业务负荷下系统性能与资源利用率的基准数据集合。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容量预警阈值：触发容量评估或干预行动的资源使用率临界值。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5529"/>
      <w:r>
        <w:rPr>
          <w:rFonts w:hint="default"/>
          <w:lang w:val="en-US" w:eastAsia="zh-CN"/>
        </w:rPr>
        <w:t>角色与职责</w:t>
      </w:r>
      <w:bookmarkEnd w:id="8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5"/>
        <w:gridCol w:w="4491"/>
        <w:gridCol w:w="3098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负责本制度的推行与总体协调。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审批容量管理计划、容量分析报告及重大扩容方案。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协调跨部门资源，解决重大容量瓶颈问题。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容量管理员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执行日常容量监控、数据分析与趋势预测。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编制《容量分析报告》与《容量计划》。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设置和调整容量监控预警阈值。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跟踪容量优化措施的实施情况。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（指定专人）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提供所辖项目的业务增长预测与性能需求。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参与项目容量评审，确保容量计划支持SLA达成。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推动项目内因容量问题触发的改进措施。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数智运营部-运维项目经理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提供应用性能优化、架构伸缩性改进的技术方案。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协助进行容量压力测试与性能建模。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参与重大扩容或架构改造的技术评审。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研究总院-开发/测试工程师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监督容量管理流程的执行合规性。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审计容量报告及预警处理的及时性。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将容量相关指标纳入质量目标监控。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9" w:name="_Toc25975"/>
      <w:r>
        <w:rPr>
          <w:rFonts w:hint="default"/>
          <w:lang w:val="en-US" w:eastAsia="zh-CN"/>
        </w:rPr>
        <w:t>容量管理活动</w: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4894"/>
      <w:r>
        <w:rPr>
          <w:rFonts w:hint="default"/>
          <w:lang w:val="en-US" w:eastAsia="zh-CN"/>
        </w:rPr>
        <w:t>容量规划与需求管理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在新服务上线或重大项目启动前，容量管理员应协同运维项目经理、研究总院，基于《服务级别协议》中的性能目标及业务预测，共同制定初始容量规划。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运维项目经理有责任定期（每半年）提供所负责服务的业务量预测。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8642"/>
      <w:r>
        <w:rPr>
          <w:rFonts w:hint="default"/>
          <w:lang w:val="en-US" w:eastAsia="zh-CN"/>
        </w:rPr>
        <w:t>容量监控与数据收集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数智运营部应建立统一的监控体系，对第1.2条定义的关键资源指标进行7x24小时持续监控和数据收集。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容量管理员负责维护容量监控仪表盘和预警规则。当资源使用率超过预设的预警阈值（如CPU持续&gt;70%）时，系统应自动生成告警并触发《事件管理》流程。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6735"/>
      <w:r>
        <w:rPr>
          <w:rFonts w:hint="default"/>
          <w:lang w:val="en-US" w:eastAsia="zh-CN"/>
        </w:rPr>
        <w:t>容量分析与建模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容量管理员应每月分析监控数据，识别使用趋势、峰值规律和潜在瓶颈。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利用历史数据建立简单的容量预测模型（如线性回归），预测未来特定时间点（如3个月、6个月后）的资源需求。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分析结果应能回答：“当前容量何时会耗尽？”、“为支持未来业务增长，需要何时、增加多少容量？”。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300"/>
      <w:r>
        <w:rPr>
          <w:rFonts w:hint="default"/>
          <w:lang w:val="en-US" w:eastAsia="zh-CN"/>
        </w:rPr>
        <w:t>容量预警与报告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容量管理员须定期（每季度）编制《容量分析报告》，内容包括：当前容量使用概况、趋势分析、预测结果、已识别风险及改进建议。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该报告应提交给容量经理、相关运维项目经理及质量管理部，并作为《服务报告》的一部分向客户披露关键发现。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8444"/>
      <w:r>
        <w:rPr>
          <w:rFonts w:hint="default"/>
          <w:lang w:val="en-US" w:eastAsia="zh-CN"/>
        </w:rPr>
        <w:t>容量优化与实施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优化：对于已出现的瓶颈或预测的缺口，应首先评估软件层面的优化可能（如代码优化、索引优化、配置调优），研究总院应提供技术支持。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扩容：当优化无法满足需求时，容量管理员应提出明确的扩容方案（包括资源规格、数量、预算估算及实施时间窗口），通过《变更管理》流程审批后实施。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所有容量变更实施后，需验证效果并更新配置管理数据库（CMDB）中的资源配置信息。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9701"/>
      <w:r>
        <w:rPr>
          <w:rFonts w:hint="default"/>
          <w:lang w:val="en-US" w:eastAsia="zh-CN"/>
        </w:rPr>
        <w:t>评审与改进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容量经理应至少每半年组织召开一次容量管理评审会，审查容量计划执行情况、分析报告质量以及流程本身的有效性，并推动改进措施的落实。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9246"/>
      <w:r>
        <w:rPr>
          <w:rFonts w:hint="default"/>
          <w:lang w:val="en-US" w:eastAsia="zh-CN"/>
        </w:rPr>
        <w:t>与其他流程的接口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服务级别管理：提供性能与可用性目标，是容量规划的起点和终点。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事件管理：容量预警自动触发事件工单，性能下降事件可能由容量问题引起。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问题管理：对反复出现的、由容量瓶颈导致的性能问题进行根因分析，并推动架构级优化。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变更管理：所有容量调整（扩容、缩容、配置调优）必须通过变更流程控制。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配置管理：CMDB提供准确的资源清单、配置项及其关系，是容量分析的基础。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服务可用性和连续性管理：充足的容量是达成高可用性和实现灾难恢复策略（如冗余）的根本保障。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26503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容量事件数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数量，因容量导致的事件次数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8" w:name="_Toc29763"/>
      <w:r>
        <w:rPr>
          <w:rFonts w:hint="default"/>
          <w:lang w:val="en-US" w:eastAsia="zh-CN"/>
        </w:rPr>
        <w:t>附则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本制度涉及的《容量分析报告》、《容量管理计划》等模板，由数智运营部制定与维护。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95C717D"/>
    <w:multiLevelType w:val="singleLevel"/>
    <w:tmpl w:val="795C717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1006</Words>
  <Characters>1110</Characters>
  <Application>Microsoft Office Word</Application>
  <DocSecurity>0</DocSecurity>
  <Lines>0</Lines>
  <Paragraphs>0</Paragraphs>
  <ScaleCrop>false</ScaleCrop>
  <Company/>
  <LinksUpToDate>false</LinksUpToDate>
  <CharactersWithSpaces>1185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2026-02-01T20:53:06Z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