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5925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-34290</wp:posOffset>
            </wp:positionH>
            <wp:positionV relativeFrom="paragraph">
              <wp:posOffset>-45085</wp:posOffset>
            </wp:positionV>
            <wp:extent cx="5304790" cy="8893810"/>
            <wp:effectExtent l="0" t="0" r="13970" b="6350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1832"/>
      <w:r>
        <w:rPr>
          <w:rFonts w:hint="eastAsia"/>
          <w:lang w:val="en-US" w:eastAsia="zh-CN"/>
        </w:rPr>
        <w:t>翔云系统运维服务项目-服务可用性和连续性计划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15</w:t>
      </w:r>
      <w:bookmarkStart w:id="2" w:name="_GoBack"/>
      <w:bookmarkEnd w:id="2"/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宋体" w:hint="eastAsia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_Toc15925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_Toc15925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_Toc11832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翔云系统运维服务项目-服务可用性和连续性计划</w:t>
          </w:r>
          <w:r>
            <w:tab/>
          </w:r>
          <w:r>
            <w:fldChar w:fldCharType="begin"/>
          </w:r>
          <w:r>
            <w:instrText xml:space="preserve"> PAGEREF _Toc11832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_Toc18055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计划目标</w:t>
          </w:r>
          <w:r>
            <w:tab/>
          </w:r>
          <w:r>
            <w:fldChar w:fldCharType="begin"/>
          </w:r>
          <w:r>
            <w:instrText xml:space="preserve"> PAGEREF _Toc18055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_Toc15364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可用性保障体系</w:t>
          </w:r>
          <w:r>
            <w:tab/>
          </w:r>
          <w:r>
            <w:fldChar w:fldCharType="begin"/>
          </w:r>
          <w:r>
            <w:instrText xml:space="preserve"> PAGEREF _Toc15364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_Toc31230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基础设施与工具高可用</w:t>
          </w:r>
          <w:r>
            <w:tab/>
          </w:r>
          <w:r>
            <w:fldChar w:fldCharType="begin"/>
          </w:r>
          <w:r>
            <w:instrText xml:space="preserve"> PAGEREF _Toc31230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_Toc6063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团队冗余与备份机制</w:t>
          </w:r>
          <w:r>
            <w:tab/>
          </w:r>
          <w:r>
            <w:fldChar w:fldCharType="begin"/>
          </w:r>
          <w:r>
            <w:instrText xml:space="preserve"> PAGEREF _Toc6063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_Toc24301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服务连续性管理</w:t>
          </w:r>
          <w:r>
            <w:tab/>
          </w:r>
          <w:r>
            <w:fldChar w:fldCharType="begin"/>
          </w:r>
          <w:r>
            <w:instrText xml:space="preserve"> PAGEREF _Toc24301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_Toc29364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风险识别与评估</w:t>
          </w:r>
          <w:r>
            <w:tab/>
          </w:r>
          <w:r>
            <w:fldChar w:fldCharType="begin"/>
          </w:r>
          <w:r>
            <w:instrText xml:space="preserve"> PAGEREF _Toc29364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_Toc23437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应急响应与恢复流程</w:t>
          </w:r>
          <w:r>
            <w:tab/>
          </w:r>
          <w:r>
            <w:fldChar w:fldCharType="begin"/>
          </w:r>
          <w:r>
            <w:instrText xml:space="preserve"> PAGEREF _Toc23437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_Toc21095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3.2.1. </w:t>
          </w:r>
          <w:r>
            <w:rPr>
              <w:rFonts w:hint="eastAsia"/>
              <w:lang w:val="en-US" w:eastAsia="zh-CN"/>
            </w:rPr>
            <w:t>事件分级与启动</w:t>
          </w:r>
          <w:r>
            <w:tab/>
          </w:r>
          <w:r>
            <w:fldChar w:fldCharType="begin"/>
          </w:r>
          <w:r>
            <w:instrText xml:space="preserve"> PAGEREF _Toc21095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_Toc16349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3.2.2. </w:t>
          </w:r>
          <w:r>
            <w:rPr>
              <w:rFonts w:hint="eastAsia"/>
              <w:lang w:val="en-US" w:eastAsia="zh-CN"/>
            </w:rPr>
            <w:t>应急指挥</w:t>
          </w:r>
          <w:r>
            <w:tab/>
          </w:r>
          <w:r>
            <w:fldChar w:fldCharType="begin"/>
          </w:r>
          <w:r>
            <w:instrText xml:space="preserve"> PAGEREF _Toc16349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_Toc3804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3.2.3. </w:t>
          </w:r>
          <w:r>
            <w:rPr>
              <w:rFonts w:hint="eastAsia"/>
              <w:lang w:val="en-US" w:eastAsia="zh-CN"/>
            </w:rPr>
            <w:t>沟通计划</w:t>
          </w:r>
          <w:r>
            <w:tab/>
          </w:r>
          <w:r>
            <w:fldChar w:fldCharType="begin"/>
          </w:r>
          <w:r>
            <w:instrText xml:space="preserve"> PAGEREF _Toc3804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_Toc29544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3.2.4. </w:t>
          </w:r>
          <w:r>
            <w:rPr>
              <w:rFonts w:hint="eastAsia"/>
              <w:lang w:val="en-US" w:eastAsia="zh-CN"/>
            </w:rPr>
            <w:t>恢复策略</w:t>
          </w:r>
          <w:r>
            <w:tab/>
          </w:r>
          <w:r>
            <w:fldChar w:fldCharType="begin"/>
          </w:r>
          <w:r>
            <w:instrText xml:space="preserve"> PAGEREF _Toc29544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_Toc18970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3.2.5. </w:t>
          </w:r>
          <w:r>
            <w:rPr>
              <w:rFonts w:hint="eastAsia"/>
              <w:lang w:val="en-US" w:eastAsia="zh-CN"/>
            </w:rPr>
            <w:t>技术恢复</w:t>
          </w:r>
          <w:r>
            <w:tab/>
          </w:r>
          <w:r>
            <w:fldChar w:fldCharType="begin"/>
          </w:r>
          <w:r>
            <w:instrText xml:space="preserve"> PAGEREF _Toc18970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_Toc3640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3.2.6. </w:t>
          </w:r>
          <w:r>
            <w:rPr>
              <w:rFonts w:hint="eastAsia"/>
              <w:lang w:val="en-US" w:eastAsia="zh-CN"/>
            </w:rPr>
            <w:t>服务分流</w:t>
          </w:r>
          <w:r>
            <w:tab/>
          </w:r>
          <w:r>
            <w:fldChar w:fldCharType="begin"/>
          </w:r>
          <w:r>
            <w:instrText xml:space="preserve"> PAGEREF _Toc3640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_Toc10670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3.2.7. </w:t>
          </w:r>
          <w:r>
            <w:rPr>
              <w:rFonts w:hint="eastAsia"/>
              <w:lang w:val="en-US" w:eastAsia="zh-CN"/>
            </w:rPr>
            <w:t>知识调用</w:t>
          </w:r>
          <w:r>
            <w:tab/>
          </w:r>
          <w:r>
            <w:fldChar w:fldCharType="begin"/>
          </w:r>
          <w:r>
            <w:instrText xml:space="preserve"> PAGEREF _Toc10670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_Toc7820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灾难恢复</w:t>
          </w:r>
          <w:r>
            <w:tab/>
          </w:r>
          <w:r>
            <w:fldChar w:fldCharType="begin"/>
          </w:r>
          <w:r>
            <w:instrText xml:space="preserve"> PAGEREF _Toc7820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_Toc11809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演练、评审与改进</w:t>
          </w:r>
          <w:r>
            <w:tab/>
          </w:r>
          <w:r>
            <w:fldChar w:fldCharType="begin"/>
          </w:r>
          <w:r>
            <w:instrText xml:space="preserve"> PAGEREF _Toc11809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_Toc10502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定期演练</w:t>
          </w:r>
          <w:r>
            <w:tab/>
          </w:r>
          <w:r>
            <w:fldChar w:fldCharType="begin"/>
          </w:r>
          <w:r>
            <w:instrText xml:space="preserve"> PAGEREF _Toc10502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_Toc7905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计划评审与更新</w:t>
          </w:r>
          <w:r>
            <w:tab/>
          </w:r>
          <w:r>
            <w:fldChar w:fldCharType="begin"/>
          </w:r>
          <w:r>
            <w:instrText xml:space="preserve"> PAGEREF _Toc7905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_Toc8034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交付物与报告</w:t>
          </w:r>
          <w:r>
            <w:tab/>
          </w:r>
          <w:r>
            <w:fldChar w:fldCharType="begin"/>
          </w:r>
          <w:r>
            <w:instrText xml:space="preserve"> PAGEREF _Toc8034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eastAsia"/>
          <w:lang w:val="en-US" w:eastAsia="zh-CN"/>
        </w:rPr>
      </w:pPr>
      <w:bookmarkStart w:id="3" w:name="_Toc18055"/>
      <w:r>
        <w:rPr>
          <w:rFonts w:hint="eastAsia"/>
          <w:lang w:val="en-US" w:eastAsia="zh-CN"/>
        </w:rPr>
        <w:t>计划目标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核心目标： 确保向甲方提供的“翔云系统”运维支持服务，在任何情况下（包括常规运营、高峰期、系统故障及突发事件），每月服务可用性不低于 90%，并具备快速恢复服务、持续交付核心价值的能力。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具体目标：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最小化中断： 通过主动监控和预防性维护，减少服务中断事件的发生频率和持续时间。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快速恢复： 建立分级应急响应机制，确保在合同约定的SLA时限内（如P1级2小时内）恢复服务或提供应急方案。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持续运营： 在面临重大技术故障、自然灾害、公共卫生事件等灾难性场景时，保障核心运维支持功能（如服务台接单、重大事件处理）不中断。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知识延续： 确保运维知识库的完整性与可访问性，使其在应急状态下仍能作为关键的决策与恢复依据。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4" w:name="_Toc15364"/>
      <w:r>
        <w:rPr>
          <w:rFonts w:hint="eastAsia"/>
          <w:lang w:val="en-US" w:eastAsia="zh-CN"/>
        </w:rPr>
        <w:t>可用性保障体系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基于合同第二条的组织架构，构建多层次可用性保障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5" w:name="_Toc31230"/>
      <w:r>
        <w:rPr>
          <w:rFonts w:hint="eastAsia"/>
          <w:lang w:val="en-US" w:eastAsia="zh-CN"/>
        </w:rPr>
        <w:t>基础设施与工具高可用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服务台系统： 采用负载均衡与热备部署，确保服务热线与在线门户7x24小时可访问。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知识库平台： 实现多地定时备份与实时同步，支持在主干平台故障时，一键切换至只读备用站点，保障知识检索服务不中断。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远程支持工具： 配备主备两套远程支持与监控工具，确保对翔云系统运行状态的持续可视性。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6" w:name="_Toc6063"/>
      <w:r>
        <w:rPr>
          <w:rFonts w:hint="eastAsia"/>
          <w:lang w:val="en-US" w:eastAsia="zh-CN"/>
        </w:rPr>
        <w:t>团队冗余与备份机制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服务台团队： 实施A/B班轮值与跨地域后备支持制度，确保任何时间均有至少两名工程师在岗。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专业知识团队： 遵循“主备岗”原则。为研发支撑组、知识管理组的关键岗位（如SAP接口专家、核心模块运维专家）设立备份人员，定期进行技能交叉培训与演练，确保单一人员缺席不影响服务深度。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管理岗备份： 项目经理（运维经理）设立明确的第一、第二备份负责人，分别来自数智运营部管理层及研究总院接口负责人。</w:t>
      </w:r>
    </w:p>
    <w:p>
      <w:pPr>
        <w:pStyle w:val="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bookmarkStart w:id="7" w:name="_Toc24301"/>
      <w:r>
        <w:rPr>
          <w:rFonts w:hint="eastAsia"/>
          <w:lang w:val="en-US" w:eastAsia="zh-CN"/>
        </w:rPr>
        <w:t>服务连续性管理</w:t>
      </w:r>
      <w:bookmarkEnd w:id="7"/>
    </w:p>
    <w:p>
      <w:pPr>
        <w:pStyle w:val="2"/>
        <w:bidi w:val="0"/>
        <w:rPr>
          <w:rFonts w:hint="eastAsia"/>
          <w:lang w:val="en-US" w:eastAsia="zh-CN"/>
        </w:rPr>
      </w:pPr>
      <w:bookmarkStart w:id="8" w:name="_Toc29364"/>
      <w:r>
        <w:rPr>
          <w:rFonts w:hint="eastAsia"/>
          <w:lang w:val="en-US" w:eastAsia="zh-CN"/>
        </w:rPr>
        <w:t>风险识别与评估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定期（每季度）进行风险评估，识别可能影响服务连续性的内外部风险，如：核心人员流失、供应商（如云平台、通信运营商）服务中断、大规模疫情、区域性电力故障等。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结合合同附件《初始运维知识库条目清单》中的高频、高影响问题，作为业务影响分析的重点场景。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9" w:name="_Toc23437"/>
      <w:r>
        <w:rPr>
          <w:rFonts w:hint="eastAsia"/>
          <w:lang w:val="en-US" w:eastAsia="zh-CN"/>
        </w:rPr>
        <w:t>应急响应与恢复流程</w:t>
      </w:r>
      <w:bookmarkEnd w:id="9"/>
    </w:p>
    <w:p>
      <w:pPr>
        <w:pStyle w:val="3"/>
        <w:bidi w:val="0"/>
        <w:rPr>
          <w:rFonts w:hint="eastAsia"/>
          <w:lang w:val="en-US" w:eastAsia="zh-CN"/>
        </w:rPr>
      </w:pPr>
      <w:bookmarkStart w:id="10" w:name="_Toc21095"/>
      <w:r>
        <w:rPr>
          <w:rFonts w:hint="eastAsia"/>
          <w:lang w:val="en-US" w:eastAsia="zh-CN"/>
        </w:rPr>
        <w:t>事件分级与启动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严格按照合同第四条定义的P1-P4级进行事件定级。P1/P2级事件自动触发本连续性计划。</w:t>
      </w:r>
    </w:p>
    <w:p>
      <w:pPr>
        <w:pStyle w:val="3"/>
        <w:bidi w:val="0"/>
        <w:rPr>
          <w:rFonts w:hint="eastAsia"/>
          <w:lang w:val="en-US" w:eastAsia="zh-CN"/>
        </w:rPr>
      </w:pPr>
      <w:bookmarkStart w:id="11" w:name="_Toc16349"/>
      <w:r>
        <w:rPr>
          <w:rFonts w:hint="eastAsia"/>
          <w:lang w:val="en-US" w:eastAsia="zh-CN"/>
        </w:rPr>
        <w:t>应急指挥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在重大事件（P1级）发生时，立即协同数智运营部经理、研究总院技术负责人，成立应急管理部。</w:t>
      </w:r>
    </w:p>
    <w:p>
      <w:pPr>
        <w:pStyle w:val="3"/>
        <w:bidi w:val="0"/>
        <w:rPr>
          <w:rFonts w:hint="eastAsia"/>
          <w:lang w:val="en-US" w:eastAsia="zh-CN"/>
        </w:rPr>
      </w:pPr>
      <w:bookmarkStart w:id="12" w:name="_Toc3804"/>
      <w:r>
        <w:rPr>
          <w:rFonts w:hint="eastAsia"/>
          <w:lang w:val="en-US" w:eastAsia="zh-CN"/>
        </w:rPr>
        <w:t>沟通计划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应急管理部在事件发生后30分钟内，建立与甲方指定接口人的专用沟通通道（如应急电话会议），每小时至少更新一次处理进展，直至事件解决。</w:t>
      </w:r>
    </w:p>
    <w:p>
      <w:pPr>
        <w:pStyle w:val="3"/>
        <w:bidi w:val="0"/>
        <w:rPr>
          <w:rFonts w:hint="eastAsia"/>
          <w:lang w:val="en-US" w:eastAsia="zh-CN"/>
        </w:rPr>
      </w:pPr>
      <w:bookmarkStart w:id="13" w:name="_Toc29544"/>
      <w:r>
        <w:rPr>
          <w:rFonts w:hint="eastAsia"/>
          <w:lang w:val="en-US" w:eastAsia="zh-CN"/>
        </w:rPr>
        <w:t>恢复策略</w:t>
      </w:r>
      <w:bookmarkEnd w:id="13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按照事件等级启动不同恢复策略。对于P1、P2级事件，应直接调用服务知识中已经验证的流程或脚本进行恢复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按照先主后次的顺序进行恢复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当无法完全恢复时，应当先关闭非核心功能，保障关键业务运行</w:t>
      </w:r>
    </w:p>
    <w:p>
      <w:pPr>
        <w:pStyle w:val="3"/>
        <w:bidi w:val="0"/>
        <w:rPr>
          <w:rFonts w:hint="eastAsia"/>
          <w:lang w:val="en-US" w:eastAsia="zh-CN"/>
        </w:rPr>
      </w:pPr>
      <w:bookmarkStart w:id="14" w:name="_Toc18970"/>
      <w:r>
        <w:rPr>
          <w:rFonts w:hint="eastAsia"/>
          <w:lang w:val="en-US" w:eastAsia="zh-CN"/>
        </w:rPr>
        <w:t>技术恢复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研究总院优先采用知识库中已验证的恢复方案；对于新问题，启用“绿色通道”进行紧急代码分析或数据修复。</w:t>
      </w:r>
    </w:p>
    <w:p>
      <w:pPr>
        <w:pStyle w:val="3"/>
        <w:bidi w:val="0"/>
        <w:rPr>
          <w:rFonts w:hint="eastAsia"/>
          <w:lang w:val="en-US" w:eastAsia="zh-CN"/>
        </w:rPr>
      </w:pPr>
      <w:bookmarkStart w:id="15" w:name="_Toc3640"/>
      <w:r>
        <w:rPr>
          <w:rFonts w:hint="eastAsia"/>
          <w:lang w:val="en-US" w:eastAsia="zh-CN"/>
        </w:rPr>
        <w:t>服务分流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如服务台系统不可用，临时启用备用联系方式（如指定手机、应急邮箱），并公告甲方用户，确保服务请求不丢失。</w:t>
      </w:r>
    </w:p>
    <w:p>
      <w:pPr>
        <w:pStyle w:val="3"/>
        <w:bidi w:val="0"/>
        <w:rPr>
          <w:rFonts w:hint="eastAsia"/>
          <w:lang w:val="en-US" w:eastAsia="zh-CN"/>
        </w:rPr>
      </w:pPr>
      <w:bookmarkStart w:id="16" w:name="_Toc10670"/>
      <w:r>
        <w:rPr>
          <w:rFonts w:hint="eastAsia"/>
          <w:lang w:val="en-US" w:eastAsia="zh-CN"/>
        </w:rPr>
        <w:t>知识调用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数智运营部立即检索、整理并分发与当前事件相关的所有历史解决方案和操作指南，支持前线团队。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7" w:name="_Toc7820"/>
      <w:r>
        <w:rPr>
          <w:rFonts w:hint="eastAsia"/>
          <w:lang w:val="en-US" w:eastAsia="zh-CN"/>
        </w:rPr>
        <w:t>灾难恢复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针对可能导致主办公场所无法使用的灾难，启用居家办公应急预案。确保所有关键人员具备安全的远程访问公司核心系统（服务台、服务知识、监控工具）的能力。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与第三方数据中心或云服务商签订协议，确保在极端情况下，能快速恢复关键业务系统的支撑环境。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18" w:name="_Toc11809"/>
      <w:r>
        <w:rPr>
          <w:rFonts w:hint="eastAsia"/>
          <w:lang w:val="en-US" w:eastAsia="zh-CN"/>
        </w:rPr>
        <w:t>演练、评审与改进</w:t>
      </w:r>
      <w:bookmarkEnd w:id="18"/>
    </w:p>
    <w:p>
      <w:pPr>
        <w:pStyle w:val="2"/>
        <w:bidi w:val="0"/>
        <w:rPr>
          <w:rFonts w:hint="eastAsia"/>
          <w:lang w:val="en-US" w:eastAsia="zh-CN"/>
        </w:rPr>
      </w:pPr>
      <w:bookmarkStart w:id="19" w:name="_Toc10502"/>
      <w:r>
        <w:rPr>
          <w:rFonts w:hint="eastAsia"/>
          <w:lang w:val="en-US" w:eastAsia="zh-CN"/>
        </w:rPr>
        <w:t>定期演练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桌面推演：每半年进行一次，模拟合同附件知识库中的典型高难度故障，检验流程有效性。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实战演练：每年进行一次，在可控范围内模拟真实事件（如服务台系统切换），检验团队响应与工具可靠性。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20" w:name="_Toc7905"/>
      <w:r>
        <w:rPr>
          <w:rFonts w:hint="eastAsia"/>
          <w:lang w:val="en-US" w:eastAsia="zh-CN"/>
        </w:rPr>
        <w:t>计划评审与更新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本计划每年由质量管理部牵头进行一次全面评审。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每次重大事件处理完毕后，应急管理部须在5个工作日内组织复盘，并将经验教训更新至知识库，必要时修订本计划。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当甲方业务、翔云系统架构或本合同范围发生重大变更时，本计划须进行即时评审与更新。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21" w:name="_Toc8034"/>
      <w:r>
        <w:rPr>
          <w:rFonts w:hint="eastAsia"/>
          <w:lang w:val="en-US" w:eastAsia="zh-CN"/>
        </w:rPr>
        <w:t>交付物与报告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月度服务报告中将专设“可用性与连续性”章节，向甲方汇报：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当月服务可用率统计。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服务中断事件的根本原因分析与改进措施。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服务知识在事件解决中的调用次数与效果。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每次连续性计划演练后，向甲方提交演练总结报告。。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1954</Words>
  <Characters>2093</Characters>
  <Application>Microsoft Office Word</Application>
  <DocSecurity>0</DocSecurity>
  <Lines>0</Lines>
  <Paragraphs>0</Paragraphs>
  <ScaleCrop>false</ScaleCrop>
  <Company/>
  <LinksUpToDate>false</LinksUpToDate>
  <CharactersWithSpaces>2188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2026-02-01T21:03:56Z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