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E298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96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DA003E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268"/>
      <w:r>
        <w:rPr>
          <w:rFonts w:hint="eastAsia"/>
          <w:lang w:val="en-US" w:eastAsia="zh-CN"/>
        </w:rPr>
        <w:t>运维服务技术成果应用管理制度</w:t>
      </w:r>
      <w:bookmarkEnd w:id="1"/>
    </w:p>
    <w:p w14:paraId="6116BE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D4FD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444AF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研究总院</w:t>
            </w:r>
          </w:p>
        </w:tc>
        <w:tc>
          <w:tcPr>
            <w:tcW w:w="2708" w:type="dxa"/>
          </w:tcPr>
          <w:p w14:paraId="5B7861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C840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A786C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73788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C72C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D3A34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186B6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00DF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BD73B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63055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5AF65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2D37D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0EA4D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E1E42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4BCB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DE466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D43F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A9D36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1D270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CE4A2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CD937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熊发云</w:t>
            </w:r>
          </w:p>
        </w:tc>
        <w:tc>
          <w:tcPr>
            <w:tcW w:w="1606" w:type="dxa"/>
          </w:tcPr>
          <w:p w14:paraId="6826F3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9B1C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17C026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67991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44F46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E9DFF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929A3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A98FE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9B2D8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14065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14785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2FC3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8A70E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0023D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40B6C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41FED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FF28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4FDD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DEE7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FAAC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780FF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68469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72E87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BEECE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160F94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313179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AAD3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运维服务技术成果应用管理制度</w:t>
          </w:r>
          <w:r>
            <w:tab/>
          </w:r>
          <w:r>
            <w:fldChar w:fldCharType="begin"/>
          </w:r>
          <w:r>
            <w:instrText xml:space="preserve"> PAGEREF _Toc11268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F446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成果识别与分类</w:t>
          </w:r>
          <w:r>
            <w:tab/>
          </w:r>
          <w:r>
            <w:fldChar w:fldCharType="begin"/>
          </w:r>
          <w:r>
            <w:instrText xml:space="preserve"> PAGEREF _Toc9105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A00D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成果评估与推广</w:t>
          </w:r>
          <w:r>
            <w:tab/>
          </w:r>
          <w:r>
            <w:fldChar w:fldCharType="begin"/>
          </w:r>
          <w:r>
            <w:instrText xml:space="preserve"> PAGEREF _Toc22282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D666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内部评估</w:t>
          </w:r>
          <w:r>
            <w:tab/>
          </w:r>
          <w:r>
            <w:fldChar w:fldCharType="begin"/>
          </w:r>
          <w:r>
            <w:instrText xml:space="preserve"> PAGEREF _Toc12847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8C0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推广计划</w:t>
          </w:r>
          <w:r>
            <w:tab/>
          </w:r>
          <w:r>
            <w:fldChar w:fldCharType="begin"/>
          </w:r>
          <w:r>
            <w:instrText xml:space="preserve"> PAGEREF _Toc13377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D121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试点应用</w:t>
          </w:r>
          <w:r>
            <w:tab/>
          </w:r>
          <w:r>
            <w:fldChar w:fldCharType="begin"/>
          </w:r>
          <w:r>
            <w:instrText xml:space="preserve"> PAGEREF _Toc22261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23F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成果转化与实施</w:t>
          </w:r>
          <w:r>
            <w:tab/>
          </w:r>
          <w:r>
            <w:fldChar w:fldCharType="begin"/>
          </w:r>
          <w:r>
            <w:instrText xml:space="preserve"> PAGEREF _Toc2509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73EEB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成果移交</w:t>
          </w:r>
          <w:r>
            <w:tab/>
          </w:r>
          <w:r>
            <w:fldChar w:fldCharType="begin"/>
          </w:r>
          <w:r>
            <w:instrText xml:space="preserve"> PAGEREF _Toc8029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3520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培训支持</w:t>
          </w:r>
          <w:r>
            <w:tab/>
          </w:r>
          <w:r>
            <w:fldChar w:fldCharType="begin"/>
          </w:r>
          <w:r>
            <w:instrText xml:space="preserve"> PAGEREF _Toc6039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5AD5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部署上线</w:t>
          </w:r>
          <w:r>
            <w:tab/>
          </w:r>
          <w:r>
            <w:fldChar w:fldCharType="begin"/>
          </w:r>
          <w:r>
            <w:instrText xml:space="preserve"> PAGEREF _Toc31383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E0C9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成果运维与迭代</w:t>
          </w:r>
          <w:r>
            <w:tab/>
          </w:r>
          <w:r>
            <w:fldChar w:fldCharType="begin"/>
          </w:r>
          <w:r>
            <w:instrText xml:space="preserve"> PAGEREF _Toc19257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51C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运维责任</w:t>
          </w:r>
          <w:r>
            <w:tab/>
          </w:r>
          <w:r>
            <w:fldChar w:fldCharType="begin"/>
          </w:r>
          <w:r>
            <w:instrText xml:space="preserve"> PAGEREF _Toc5728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A437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反馈机制</w:t>
          </w:r>
          <w:r>
            <w:tab/>
          </w:r>
          <w:r>
            <w:fldChar w:fldCharType="begin"/>
          </w:r>
          <w:r>
            <w:instrText xml:space="preserve"> PAGEREF _Toc16379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301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_Toc7019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020E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成果效益评估</w:t>
          </w:r>
          <w:r>
            <w:tab/>
          </w:r>
          <w:r>
            <w:fldChar w:fldCharType="begin"/>
          </w:r>
          <w:r>
            <w:instrText xml:space="preserve"> PAGEREF _Toc21510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86C0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评估周期</w:t>
          </w:r>
          <w:r>
            <w:tab/>
          </w:r>
          <w:r>
            <w:fldChar w:fldCharType="begin"/>
          </w:r>
          <w:r>
            <w:instrText xml:space="preserve"> PAGEREF _Toc3679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6CE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评估内容</w:t>
          </w:r>
          <w:r>
            <w:tab/>
          </w:r>
          <w:r>
            <w:fldChar w:fldCharType="begin"/>
          </w:r>
          <w:r>
            <w:instrText xml:space="preserve"> PAGEREF _Toc9220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1D3A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评估报告</w:t>
          </w:r>
          <w:r>
            <w:tab/>
          </w:r>
          <w:r>
            <w:fldChar w:fldCharType="begin"/>
          </w:r>
          <w:r>
            <w:instrText xml:space="preserve"> PAGEREF _Toc374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8B42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知识产权保护</w:t>
          </w:r>
          <w:r>
            <w:tab/>
          </w:r>
          <w:r>
            <w:fldChar w:fldCharType="begin"/>
          </w:r>
          <w:r>
            <w:instrText xml:space="preserve"> PAGEREF _Toc2227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0AE15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62B51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79D58D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为促进技术研发成果的有效转化与价值实现，规范成果应用流程，确保技术成果在业务运营、服务交付及市场拓展中发挥实际作用，特制定本章节内容。</w:t>
      </w:r>
    </w:p>
    <w:p w14:paraId="34366A55">
      <w:pPr>
        <w:pStyle w:val="28"/>
        <w:bidi w:val="0"/>
        <w:rPr>
          <w:rFonts w:hint="eastAsia"/>
          <w:lang w:val="en-US" w:eastAsia="zh-CN"/>
        </w:rPr>
      </w:pPr>
      <w:bookmarkStart w:id="2" w:name="_Toc9105"/>
      <w:r>
        <w:rPr>
          <w:rFonts w:hint="eastAsia"/>
          <w:lang w:val="en-US" w:eastAsia="zh-CN"/>
        </w:rPr>
        <w:t>成果识别与分类</w:t>
      </w:r>
      <w:bookmarkEnd w:id="2"/>
    </w:p>
    <w:p w14:paraId="5744248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研发项目交付的技术成果包括但不限于以下类别：</w:t>
      </w:r>
    </w:p>
    <w:p w14:paraId="10CD5664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软件系统/工具：运维自动化工具、监控平台、数据分析系统等。</w:t>
      </w:r>
    </w:p>
    <w:p w14:paraId="1DF3A04F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技术组件/模块：可复用的算法、接口、中间件等。</w:t>
      </w:r>
    </w:p>
    <w:p w14:paraId="63E1590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解决方案/方法论：针对特定业务场景的技术解决方案或管理方法。</w:t>
      </w:r>
    </w:p>
    <w:p w14:paraId="2E4F5E8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知识产权：软件著作权、专利、技术标准等。</w:t>
      </w:r>
    </w:p>
    <w:p w14:paraId="6331C36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项目经理应在项目结项前组织识别并汇总本项目的技术成果清单，形成《技术成果清单》作为项目交付物之一。</w:t>
      </w:r>
    </w:p>
    <w:p w14:paraId="10C736F0">
      <w:pPr>
        <w:pStyle w:val="28"/>
        <w:bidi w:val="0"/>
        <w:rPr>
          <w:rFonts w:hint="eastAsia"/>
          <w:lang w:val="en-US" w:eastAsia="zh-CN"/>
        </w:rPr>
      </w:pPr>
      <w:bookmarkStart w:id="3" w:name="_Toc22282"/>
      <w:r>
        <w:rPr>
          <w:rFonts w:hint="eastAsia"/>
          <w:lang w:val="en-US" w:eastAsia="zh-CN"/>
        </w:rPr>
        <w:t>成果评估与推广</w:t>
      </w:r>
      <w:bookmarkEnd w:id="3"/>
    </w:p>
    <w:p w14:paraId="62ADE69B">
      <w:pPr>
        <w:pStyle w:val="30"/>
        <w:bidi w:val="0"/>
        <w:rPr>
          <w:rFonts w:hint="eastAsia"/>
          <w:lang w:val="en-US" w:eastAsia="zh-CN"/>
        </w:rPr>
      </w:pPr>
      <w:bookmarkStart w:id="4" w:name="_Toc12847"/>
      <w:r>
        <w:rPr>
          <w:rFonts w:hint="eastAsia"/>
          <w:lang w:val="en-US" w:eastAsia="zh-CN"/>
        </w:rPr>
        <w:t>内部评估</w:t>
      </w:r>
      <w:bookmarkEnd w:id="4"/>
    </w:p>
    <w:p w14:paraId="631E73C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研究总院组织相关部门对技术成果进行评审，评估其技术成熟度、适用场景、预期效益及推广可行性。</w:t>
      </w:r>
    </w:p>
    <w:p w14:paraId="3167FED3">
      <w:pPr>
        <w:pStyle w:val="30"/>
        <w:bidi w:val="0"/>
        <w:rPr>
          <w:rFonts w:hint="eastAsia"/>
          <w:lang w:val="en-US" w:eastAsia="zh-CN"/>
        </w:rPr>
      </w:pPr>
      <w:bookmarkStart w:id="5" w:name="_Toc13377"/>
      <w:r>
        <w:rPr>
          <w:rFonts w:hint="eastAsia"/>
          <w:lang w:val="en-US" w:eastAsia="zh-CN"/>
        </w:rPr>
        <w:t>推广计划</w:t>
      </w:r>
      <w:bookmarkEnd w:id="5"/>
    </w:p>
    <w:p w14:paraId="51B4F6F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对具备推广价值的成果，制定《技术成果推广计划》，明确推广目标、责任部门、时间节点及资源支持。</w:t>
      </w:r>
    </w:p>
    <w:p w14:paraId="08719DE1">
      <w:pPr>
        <w:pStyle w:val="30"/>
        <w:bidi w:val="0"/>
        <w:rPr>
          <w:rFonts w:hint="eastAsia"/>
          <w:lang w:val="en-US" w:eastAsia="zh-CN"/>
        </w:rPr>
      </w:pPr>
      <w:bookmarkStart w:id="6" w:name="_Toc22261"/>
      <w:r>
        <w:rPr>
          <w:rFonts w:hint="eastAsia"/>
          <w:lang w:val="en-US" w:eastAsia="zh-CN"/>
        </w:rPr>
        <w:t>试点应用</w:t>
      </w:r>
      <w:bookmarkEnd w:id="6"/>
    </w:p>
    <w:p w14:paraId="3C4EA65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可优先在典型业务场景或试点项目中应用，收集使用反馈，优化成果功能与性能。</w:t>
      </w:r>
    </w:p>
    <w:p w14:paraId="32904020">
      <w:pPr>
        <w:pStyle w:val="28"/>
        <w:bidi w:val="0"/>
        <w:rPr>
          <w:rFonts w:hint="eastAsia"/>
          <w:lang w:val="en-US" w:eastAsia="zh-CN"/>
        </w:rPr>
      </w:pPr>
      <w:bookmarkStart w:id="7" w:name="_Toc2509"/>
      <w:r>
        <w:rPr>
          <w:rFonts w:hint="eastAsia"/>
          <w:lang w:val="en-US" w:eastAsia="zh-CN"/>
        </w:rPr>
        <w:t>成果转化与实施</w:t>
      </w:r>
      <w:bookmarkEnd w:id="7"/>
    </w:p>
    <w:p w14:paraId="49B02AAC">
      <w:pPr>
        <w:pStyle w:val="30"/>
        <w:bidi w:val="0"/>
        <w:rPr>
          <w:rFonts w:hint="eastAsia"/>
          <w:lang w:val="en-US" w:eastAsia="zh-CN"/>
        </w:rPr>
      </w:pPr>
      <w:bookmarkStart w:id="8" w:name="_Toc8029"/>
      <w:r>
        <w:rPr>
          <w:rFonts w:hint="eastAsia"/>
          <w:lang w:val="en-US" w:eastAsia="zh-CN"/>
        </w:rPr>
        <w:t>成果移交</w:t>
      </w:r>
      <w:bookmarkEnd w:id="8"/>
    </w:p>
    <w:p w14:paraId="028436B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研发项目结项后，项目组应将技术成果及相关文档移交给成果使用部门，并签署《技术成果移交清单》。</w:t>
      </w:r>
    </w:p>
    <w:p w14:paraId="5B1545FF">
      <w:pPr>
        <w:pStyle w:val="30"/>
        <w:bidi w:val="0"/>
        <w:rPr>
          <w:rFonts w:hint="eastAsia"/>
          <w:lang w:val="en-US" w:eastAsia="zh-CN"/>
        </w:rPr>
      </w:pPr>
      <w:bookmarkStart w:id="9" w:name="_Toc6039"/>
      <w:r>
        <w:rPr>
          <w:rFonts w:hint="eastAsia"/>
          <w:lang w:val="en-US" w:eastAsia="zh-CN"/>
        </w:rPr>
        <w:t>培训支持</w:t>
      </w:r>
      <w:bookmarkEnd w:id="9"/>
    </w:p>
    <w:p w14:paraId="19DAE5E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研发项目组应为使用部门提供必要的技术培训、操作指导及初期运维支持。</w:t>
      </w:r>
    </w:p>
    <w:p w14:paraId="35814923">
      <w:pPr>
        <w:pStyle w:val="30"/>
        <w:bidi w:val="0"/>
        <w:rPr>
          <w:rFonts w:hint="eastAsia"/>
          <w:lang w:val="en-US" w:eastAsia="zh-CN"/>
        </w:rPr>
      </w:pPr>
      <w:bookmarkStart w:id="10" w:name="_Toc31383"/>
      <w:r>
        <w:rPr>
          <w:rFonts w:hint="eastAsia"/>
          <w:lang w:val="en-US" w:eastAsia="zh-CN"/>
        </w:rPr>
        <w:t>部署上线</w:t>
      </w:r>
      <w:bookmarkEnd w:id="10"/>
    </w:p>
    <w:p w14:paraId="6374034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使用部门负责成果在生产环境的部署、配置与上线，确保平稳过渡。</w:t>
      </w:r>
    </w:p>
    <w:p w14:paraId="12C326A6">
      <w:pPr>
        <w:pStyle w:val="28"/>
        <w:bidi w:val="0"/>
        <w:rPr>
          <w:rFonts w:hint="eastAsia"/>
          <w:lang w:val="en-US" w:eastAsia="zh-CN"/>
        </w:rPr>
      </w:pPr>
      <w:bookmarkStart w:id="11" w:name="_Toc19257"/>
      <w:r>
        <w:rPr>
          <w:rFonts w:hint="eastAsia"/>
          <w:lang w:val="en-US" w:eastAsia="zh-CN"/>
        </w:rPr>
        <w:t>成果运维与迭代</w:t>
      </w:r>
      <w:bookmarkEnd w:id="11"/>
    </w:p>
    <w:p w14:paraId="5CDFD120">
      <w:pPr>
        <w:pStyle w:val="30"/>
        <w:bidi w:val="0"/>
        <w:rPr>
          <w:rFonts w:hint="eastAsia"/>
          <w:lang w:val="en-US" w:eastAsia="zh-CN"/>
        </w:rPr>
      </w:pPr>
      <w:bookmarkStart w:id="12" w:name="_Toc5728"/>
      <w:r>
        <w:rPr>
          <w:rFonts w:hint="eastAsia"/>
          <w:lang w:val="en-US" w:eastAsia="zh-CN"/>
        </w:rPr>
        <w:t>运维责任</w:t>
      </w:r>
      <w:bookmarkEnd w:id="12"/>
    </w:p>
    <w:p w14:paraId="12F7D9B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技术成果正式投入使用后，其日常运维责任由使用部门承担，研发部门提供二线技术支持。</w:t>
      </w:r>
    </w:p>
    <w:p w14:paraId="764C7CCC">
      <w:pPr>
        <w:pStyle w:val="30"/>
        <w:bidi w:val="0"/>
        <w:rPr>
          <w:rFonts w:hint="eastAsia"/>
          <w:lang w:val="en-US" w:eastAsia="zh-CN"/>
        </w:rPr>
      </w:pPr>
      <w:bookmarkStart w:id="13" w:name="_Toc16379"/>
      <w:r>
        <w:rPr>
          <w:rFonts w:hint="eastAsia"/>
          <w:lang w:val="en-US" w:eastAsia="zh-CN"/>
        </w:rPr>
        <w:t>反馈机制</w:t>
      </w:r>
      <w:bookmarkEnd w:id="13"/>
    </w:p>
    <w:p w14:paraId="16A57E2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使用部门应定期反馈成果运行情况、问题及优化建议，研发部门负责收集并评估后续迭代需求。</w:t>
      </w:r>
    </w:p>
    <w:p w14:paraId="51F22A6B">
      <w:pPr>
        <w:pStyle w:val="30"/>
        <w:bidi w:val="0"/>
        <w:rPr>
          <w:rFonts w:hint="eastAsia"/>
          <w:lang w:val="en-US" w:eastAsia="zh-CN"/>
        </w:rPr>
      </w:pPr>
      <w:bookmarkStart w:id="14" w:name="_Toc7019"/>
      <w:r>
        <w:rPr>
          <w:rFonts w:hint="eastAsia"/>
          <w:lang w:val="en-US" w:eastAsia="zh-CN"/>
        </w:rPr>
        <w:t>持续改进</w:t>
      </w:r>
      <w:bookmarkEnd w:id="14"/>
    </w:p>
    <w:p w14:paraId="3CE32DD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对已应用的技术成果，研发部门应制定迭代计划，持续优化功能、性能及用户体验。</w:t>
      </w:r>
    </w:p>
    <w:p w14:paraId="335B9826">
      <w:pPr>
        <w:pStyle w:val="28"/>
        <w:bidi w:val="0"/>
        <w:rPr>
          <w:rFonts w:hint="eastAsia"/>
          <w:lang w:val="en-US" w:eastAsia="zh-CN"/>
        </w:rPr>
      </w:pPr>
      <w:bookmarkStart w:id="15" w:name="_Toc21510"/>
      <w:r>
        <w:rPr>
          <w:rFonts w:hint="eastAsia"/>
          <w:lang w:val="en-US" w:eastAsia="zh-CN"/>
        </w:rPr>
        <w:t>成果效益评估</w:t>
      </w:r>
      <w:bookmarkEnd w:id="15"/>
    </w:p>
    <w:p w14:paraId="2D67DBA8">
      <w:pPr>
        <w:pStyle w:val="30"/>
        <w:bidi w:val="0"/>
        <w:rPr>
          <w:rFonts w:hint="eastAsia"/>
          <w:lang w:val="en-US" w:eastAsia="zh-CN"/>
        </w:rPr>
      </w:pPr>
      <w:bookmarkStart w:id="16" w:name="_Toc3679"/>
      <w:r>
        <w:rPr>
          <w:rFonts w:hint="eastAsia"/>
          <w:lang w:val="en-US" w:eastAsia="zh-CN"/>
        </w:rPr>
        <w:t>评估周期</w:t>
      </w:r>
      <w:bookmarkEnd w:id="16"/>
    </w:p>
    <w:p w14:paraId="1FB5717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技术成果应用满一年或关键周期后，由研究总院牵头组织效益评估。</w:t>
      </w:r>
    </w:p>
    <w:p w14:paraId="36019D46">
      <w:pPr>
        <w:pStyle w:val="30"/>
        <w:bidi w:val="0"/>
        <w:rPr>
          <w:rFonts w:hint="eastAsia"/>
          <w:lang w:val="en-US" w:eastAsia="zh-CN"/>
        </w:rPr>
      </w:pPr>
      <w:bookmarkStart w:id="17" w:name="_Toc9220"/>
      <w:r>
        <w:rPr>
          <w:rFonts w:hint="eastAsia"/>
          <w:lang w:val="en-US" w:eastAsia="zh-CN"/>
        </w:rPr>
        <w:t>评估内容</w:t>
      </w:r>
      <w:bookmarkEnd w:id="17"/>
    </w:p>
    <w:p w14:paraId="6959132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包括但不限于：</w:t>
      </w:r>
    </w:p>
    <w:p w14:paraId="595DCF8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技术成果的稳定性、可用性、安全性；</w:t>
      </w:r>
    </w:p>
    <w:p w14:paraId="2DE995A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对业务效率、服务质量、成本节约的实际贡献；</w:t>
      </w:r>
    </w:p>
    <w:p w14:paraId="3BF9736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用户满意度及使用覆盖率。</w:t>
      </w:r>
    </w:p>
    <w:p w14:paraId="64776C8F">
      <w:pPr>
        <w:pStyle w:val="30"/>
        <w:bidi w:val="0"/>
        <w:rPr>
          <w:rFonts w:hint="eastAsia"/>
          <w:lang w:val="en-US" w:eastAsia="zh-CN"/>
        </w:rPr>
      </w:pPr>
      <w:bookmarkStart w:id="18" w:name="_Toc374"/>
      <w:r>
        <w:rPr>
          <w:rFonts w:hint="eastAsia"/>
          <w:lang w:val="en-US" w:eastAsia="zh-CN"/>
        </w:rPr>
        <w:t>评估报告</w:t>
      </w:r>
      <w:bookmarkEnd w:id="18"/>
    </w:p>
    <w:p w14:paraId="36AA3F9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形成《技术成果应用效益评估报告》，作为后续研发规划及资源投入的参考依据。</w:t>
      </w:r>
    </w:p>
    <w:p w14:paraId="0FBF7C2C">
      <w:pPr>
        <w:pStyle w:val="28"/>
        <w:bidi w:val="0"/>
        <w:rPr>
          <w:rFonts w:hint="eastAsia"/>
          <w:lang w:val="en-US" w:eastAsia="zh-CN"/>
        </w:rPr>
      </w:pPr>
      <w:bookmarkStart w:id="19" w:name="_Toc2227"/>
      <w:r>
        <w:rPr>
          <w:rFonts w:hint="eastAsia"/>
          <w:lang w:val="en-US" w:eastAsia="zh-CN"/>
        </w:rPr>
        <w:t>知识产权保护</w:t>
      </w:r>
      <w:bookmarkEnd w:id="19"/>
    </w:p>
    <w:p w14:paraId="16FBE14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研发过程中产生的知识产权（如软件著作权、专利等）应按规定及时申请登记。</w:t>
      </w:r>
    </w:p>
    <w:p w14:paraId="3C0F5C8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涉及对外合作或客户交付的成果，应在合同中明确知识产权归属与使用权限。</w:t>
      </w:r>
    </w:p>
    <w:p w14:paraId="3DC9409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本部分内容旨在建立技术研发成果从产出到应用的全过程管理机制，确保研发投入转化为实际业务价值，并为持续技术创新提供制度保障。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6964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3A6E03"/>
    <w:multiLevelType w:val="singleLevel"/>
    <w:tmpl w:val="B23A6E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4D4B64"/>
    <w:multiLevelType w:val="singleLevel"/>
    <w:tmpl w:val="634D4B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E41BD9"/>
    <w:rsid w:val="047A5783"/>
    <w:rsid w:val="095B3317"/>
    <w:rsid w:val="0AF81AF7"/>
    <w:rsid w:val="0D7C73F5"/>
    <w:rsid w:val="0E7954D6"/>
    <w:rsid w:val="12A7303C"/>
    <w:rsid w:val="24C93320"/>
    <w:rsid w:val="2AE840B0"/>
    <w:rsid w:val="2C506C46"/>
    <w:rsid w:val="2F087CAC"/>
    <w:rsid w:val="30443C64"/>
    <w:rsid w:val="34986FE7"/>
    <w:rsid w:val="35EA2B78"/>
    <w:rsid w:val="4F4641AC"/>
    <w:rsid w:val="53C31BAF"/>
    <w:rsid w:val="589D0439"/>
    <w:rsid w:val="5FFE1F39"/>
    <w:rsid w:val="66053CE4"/>
    <w:rsid w:val="67024A05"/>
    <w:rsid w:val="799A0ACD"/>
    <w:rsid w:val="7CE63DAA"/>
    <w:rsid w:val="7D0107D4"/>
    <w:rsid w:val="7F9F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916</Words>
  <Characters>1029</Characters>
  <Lines>0</Lines>
  <Paragraphs>0</Paragraphs>
  <TotalTime>1</TotalTime>
  <ScaleCrop>false</ScaleCrop>
  <LinksUpToDate>false</LinksUpToDate>
  <CharactersWithSpaces>1129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2026-02-03T22:23:08Z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