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66CFB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68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911E6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40"/>
      <w:r>
        <w:rPr>
          <w:rFonts w:hint="eastAsia"/>
          <w:lang w:val="en-US" w:eastAsia="zh-CN"/>
        </w:rPr>
        <w:t>服务台管理制度</w:t>
      </w:r>
      <w:bookmarkEnd w:id="1"/>
    </w:p>
    <w:p w14:paraId="07E45BD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7C7A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59F9B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701AEF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BDB43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CEF7F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DD7E8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6AAE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BED23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ECD8B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1396B9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198842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6860A4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CCF50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E0A0A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05ABB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79B79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DA110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1E30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B594B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DCF37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9E09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1507C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9579D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1802E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7A6704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0D920E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3EC270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85B5F2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1E1BC1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D79DC3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A809EC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D02B3E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CAF18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71637F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BD1B47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984A3A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E994B1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E5EABC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0556CA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1F88C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131D59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7FE79D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C4EE63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53EDD1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1B4D12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2F67EB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0F4D80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4A1AA2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2CA13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_Toc9685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4E05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_Toc28140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87A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7A9B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2E1A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1506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A2F5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_Toc18746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23054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数智运营部经理</w:t>
          </w:r>
          <w:r>
            <w:tab/>
          </w:r>
          <w:r>
            <w:fldChar w:fldCharType="begin"/>
          </w:r>
          <w:r>
            <w:instrText xml:space="preserve"> PAGEREF _Toc25585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77D6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_Toc29349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1591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_Toc23282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3C3E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1504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_Toc21873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999E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服务请求</w:t>
          </w:r>
          <w:r>
            <w:tab/>
          </w:r>
          <w:r>
            <w:fldChar w:fldCharType="begin"/>
          </w:r>
          <w:r>
            <w:instrText xml:space="preserve"> PAGEREF _Toc26629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3DE8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_Toc5487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88A8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二线技术支持</w:t>
          </w:r>
          <w:r>
            <w:tab/>
          </w:r>
          <w:r>
            <w:fldChar w:fldCharType="begin"/>
          </w:r>
          <w:r>
            <w:instrText xml:space="preserve"> PAGEREF _Toc10736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7EAE5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_Toc29086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B5D3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接入与记录</w:t>
          </w:r>
          <w:r>
            <w:tab/>
          </w:r>
          <w:r>
            <w:fldChar w:fldCharType="begin"/>
          </w:r>
          <w:r>
            <w:instrText xml:space="preserve"> PAGEREF _Toc14515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0421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分类与初步支持</w:t>
          </w:r>
          <w:r>
            <w:tab/>
          </w:r>
          <w:r>
            <w:fldChar w:fldCharType="begin"/>
          </w:r>
          <w:r>
            <w:instrText xml:space="preserve"> PAGEREF _Toc16386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E563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派发与升级</w:t>
          </w:r>
          <w:r>
            <w:tab/>
          </w:r>
          <w:r>
            <w:fldChar w:fldCharType="begin"/>
          </w:r>
          <w:r>
            <w:instrText xml:space="preserve"> PAGEREF _Toc12191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7F6D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调查与解决</w:t>
          </w:r>
          <w:r>
            <w:tab/>
          </w:r>
          <w:r>
            <w:fldChar w:fldCharType="begin"/>
          </w:r>
          <w:r>
            <w:instrText xml:space="preserve"> PAGEREF _Toc16030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5610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回访与关闭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4951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监控上报事件处理</w:t>
          </w:r>
          <w:r>
            <w:tab/>
          </w:r>
          <w:r>
            <w:fldChar w:fldCharType="begin"/>
          </w:r>
          <w:r>
            <w:instrText xml:space="preserve"> PAGEREF _Toc12954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D1D8D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3BA9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E259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_Toc13485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B67F0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AE1A8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50B5DD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22A952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7D0B7B2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为规范服务台工作的标准化、流程化管理，确保事件与服务请求的及时响应、有效处理和闭环跟踪，提升运维服务效率与用户满意度，特制定本制度。</w:t>
      </w:r>
    </w:p>
    <w:p w14:paraId="39166D5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3BD053A6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本制度适用于公司所有通过服务台受理的运维事件、服务请求及相关咨询的处理与管理。</w:t>
      </w:r>
    </w:p>
    <w:p w14:paraId="4EDBDBF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服务时间与接入方式</w:t>
      </w:r>
    </w:p>
    <w:p w14:paraId="45B4684E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服务台提供以下接入渠道，服务时间为工作日 5×8小时（周一至周五，每日8 小时）：</w:t>
      </w:r>
    </w:p>
    <w:p w14:paraId="090416E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服务热线：010-58103028</w:t>
      </w:r>
    </w:p>
    <w:p w14:paraId="0307DF76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服务邮箱：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"mailto:xuchaochao.xy&lt;xuchaochao.xy@chinaccs.cn&gt;" </w:instrText>
      </w:r>
      <w:r>
        <w:rPr>
          <w:rFonts w:hint="eastAsia"/>
        </w:rPr>
        <w:fldChar w:fldCharType="separate"/>
      </w:r>
      <w:r>
        <w:rPr>
          <w:rStyle w:val="24"/>
          <w:rFonts w:hint="eastAsia"/>
        </w:rPr>
        <w:t>&lt;xuchaochao.xy@chinaccs.cn&gt;</w:t>
      </w:r>
      <w:r>
        <w:rPr>
          <w:rFonts w:hint="eastAsia"/>
        </w:rPr>
        <w:fldChar w:fldCharType="end"/>
      </w:r>
    </w:p>
    <w:p w14:paraId="4ED2223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工单系统：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通服信息化服务平台</w:t>
      </w:r>
    </w:p>
    <w:p w14:paraId="5B830B6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服务台职责</w:t>
      </w:r>
    </w:p>
    <w:p w14:paraId="03A1682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服务台是用户与运维团队之间的统一接口，主要职责包括：</w:t>
      </w:r>
    </w:p>
    <w:p w14:paraId="68CB4C96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受理用户事件、服务请求及咨询，并完整记录；</w:t>
      </w:r>
    </w:p>
    <w:p w14:paraId="6DDF8B31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对事件进行分类、初步诊断与优先级划分；</w:t>
      </w:r>
    </w:p>
    <w:p w14:paraId="64B36561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对可即时处理的事件进行解决，对无法处理的事件派发至对应支持人员；</w:t>
      </w:r>
    </w:p>
    <w:p w14:paraId="6D853BDE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跟踪事件处理进度，及时向用户反馈状态；</w:t>
      </w:r>
    </w:p>
    <w:p w14:paraId="22A2D923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处理完成后进行用户回访，确认解决情况并关闭工单；</w:t>
      </w:r>
    </w:p>
    <w:p w14:paraId="43EA61A3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定期汇总服务数据，协助优化服务流程；</w:t>
      </w:r>
    </w:p>
    <w:p w14:paraId="37BD9F6A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严格执行信息保密制度，保护用户与公司数据安全。</w:t>
      </w:r>
    </w:p>
    <w:p w14:paraId="435939D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事件/服务请求处理流程</w:t>
      </w:r>
    </w:p>
    <w:p w14:paraId="371CE82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记录与受理</w:t>
      </w:r>
    </w:p>
    <w:p w14:paraId="78AEF2C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所有用户提交的事件、服务请求均需在工单系统中创建记录；</w:t>
      </w:r>
    </w:p>
    <w:p w14:paraId="71A7A23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记录信息应包括：用户信息、问题描述、发生时间、影响范围、紧急程度等；</w:t>
      </w:r>
    </w:p>
    <w:p w14:paraId="116A5F6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服务台人员应在受理后 15 分钟内进行初步响应。</w:t>
      </w:r>
    </w:p>
    <w:p w14:paraId="1627F73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分类与派发</w:t>
      </w:r>
    </w:p>
    <w:p w14:paraId="042D28E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根据事件性质进行分类（如：系统故障、应用问题、咨询类、服务请求等）；</w:t>
      </w:r>
    </w:p>
    <w:p w14:paraId="519D227A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若服务台可即时解决，则直接处理并进入回访环节；</w:t>
      </w:r>
    </w:p>
    <w:p w14:paraId="0496D4C7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若需技术支持，则派发至相应二线或三线支持人员，并明确处理时限。</w:t>
      </w:r>
    </w:p>
    <w:p w14:paraId="09DA00E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处理与跟踪</w:t>
      </w:r>
    </w:p>
    <w:p w14:paraId="0985CDB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支持人员接收工单后应及时处理，更新处理进展；</w:t>
      </w:r>
    </w:p>
    <w:p w14:paraId="43D27FA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服务台负责跟踪整体处理进度，协调资源，确保事件按时解决；</w:t>
      </w:r>
    </w:p>
    <w:p w14:paraId="3660707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如遇疑难或重大事件，应启动升级机制并通知相关负责人。</w:t>
      </w:r>
    </w:p>
    <w:p w14:paraId="5F92690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回访与关闭</w:t>
      </w:r>
    </w:p>
    <w:p w14:paraId="792004C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事件处理完毕后，服务台应在24小时内进行用户回访；</w:t>
      </w:r>
    </w:p>
    <w:p w14:paraId="0FCBDB8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确认问题已解决且用户满意后，方可关闭工单；</w:t>
      </w:r>
    </w:p>
    <w:p w14:paraId="5D33F223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若用户反馈未解决，则重新派发或升级处理。</w:t>
      </w:r>
    </w:p>
    <w:p w14:paraId="53855BAA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服务台专员监督与考评机制</w:t>
      </w:r>
    </w:p>
    <w:p w14:paraId="42A5EDED">
      <w:pPr>
        <w:pStyle w:val="30"/>
        <w:bidi w:val="0"/>
      </w:pPr>
      <w:r>
        <w:t>为提升服务台服务质量与工作效率，确保服务台专员工作符合标准化、规范化要求，特制定本监督与考评机制。</w:t>
      </w:r>
    </w:p>
    <w:p w14:paraId="2C9CD4E2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核心考评指标</w:t>
      </w:r>
    </w:p>
    <w:p w14:paraId="646D42E3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指标名称：服务台派单成功率</w:t>
      </w:r>
    </w:p>
    <w:p w14:paraId="77AF248C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目标值：≥ 90%</w:t>
      </w:r>
    </w:p>
    <w:p w14:paraId="021F86BA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计算公式：【1-（退回的派单/派单总数）】*100%</w:t>
      </w:r>
    </w:p>
    <w:p w14:paraId="2C749F4C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考评周期：季度</w:t>
      </w:r>
    </w:p>
    <w:p w14:paraId="265666E9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数据来源：工单系统自动统计。</w:t>
      </w:r>
    </w:p>
    <w:p w14:paraId="12030BE9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监督与管理过程</w:t>
      </w:r>
    </w:p>
    <w:p w14:paraId="5EEE265A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为保障核心指标的达成，实施以下日常监督措施：</w:t>
      </w:r>
    </w:p>
    <w:p w14:paraId="1479664A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退回工单分析：服务台主管需对每一个被退回的工单进行审核，分析退回原因，并每周进行汇总。</w:t>
      </w:r>
    </w:p>
    <w:p w14:paraId="41E5BCDC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抽样检查：每月随机抽查派发中的工单，评估问题描述的清晰度、分类准确性及指派对象的合理性。</w:t>
      </w:r>
    </w:p>
    <w:p w14:paraId="6B2FA676">
      <w:pPr>
        <w:pStyle w:val="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协同校准：定期与二线技术支持团队沟通，对齐事件分类标准与职责边界，减少因理解不一致导致的退单。</w:t>
      </w:r>
    </w:p>
    <w:p w14:paraId="4CD7426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考评结果应用</w:t>
      </w:r>
    </w:p>
    <w:p w14:paraId="5AD84C06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季度考评：每个季度末，依据系统数据计算每位专员的本季度派单成功率。</w:t>
      </w:r>
    </w:p>
    <w:p w14:paraId="36FB7AFF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达标判定：成功率≥90%即为达标，纳入绩效正向评价。</w:t>
      </w:r>
    </w:p>
    <w:p w14:paraId="099B98EF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未达标处理：若未达标，服务台主管需与专员共同复盘，针对高频退单原因制定个人改进计划。</w:t>
      </w:r>
    </w:p>
    <w:p w14:paraId="1444384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持续未达标：连续两个季度未达标者，需参加专项技能培训，并接受跟踪考核。</w:t>
      </w:r>
    </w:p>
    <w:p w14:paraId="2B430961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支持与改进</w:t>
      </w:r>
    </w:p>
    <w:p w14:paraId="49413CEE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bookmarkStart w:id="2" w:name="_GoBack"/>
      <w:bookmarkEnd w:id="2"/>
      <w:r>
        <w:rPr>
          <w:rFonts w:hint="default"/>
          <w:lang w:val="en-US" w:eastAsia="zh-CN"/>
        </w:rPr>
        <w:t>强化：鼓励专员将常见、易错判的场景及正确处理方法更新至知识库，作为团队学习资料。</w:t>
      </w:r>
    </w:p>
    <w:p w14:paraId="6E583B7B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定期复盘：每季度召开服务台质量会议，公开分析整体退单数据与典型案例，推动流程与分类标准的优化。</w:t>
      </w:r>
    </w:p>
    <w:p w14:paraId="6EA27B65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 w14:paraId="7071E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47BBA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31F58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9BFD7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2C6F6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12CB5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E160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服务台派单成功率</w:t>
            </w:r>
          </w:p>
        </w:tc>
        <w:tc>
          <w:tcPr>
            <w:tcW w:w="11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75E9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5BDD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【1-（退回的派单/派单总数）】*100%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1B84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3388BB0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3A2B78D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B81AD8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0FFD0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9DBD0DF"/>
    <w:multiLevelType w:val="singleLevel"/>
    <w:tmpl w:val="E9DBD0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B474300"/>
    <w:rsid w:val="2E530C6F"/>
    <w:rsid w:val="3A854588"/>
    <w:rsid w:val="3FA330D9"/>
    <w:rsid w:val="53C14933"/>
    <w:rsid w:val="54D1015B"/>
    <w:rsid w:val="62042B56"/>
    <w:rsid w:val="6E95615F"/>
    <w:rsid w:val="716F51AC"/>
    <w:rsid w:val="77B5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1054</Words>
  <Characters>1220</Characters>
  <Lines>0</Lines>
  <Paragraphs>0</Paragraphs>
  <TotalTime>7</TotalTime>
  <ScaleCrop>false</ScaleCrop>
  <LinksUpToDate>false</LinksUpToDate>
  <CharactersWithSpaces>1326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2026-02-02T02:29:37Z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