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927922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8791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10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 w14:paraId="285C8C2F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16158"/>
      <w:r>
        <w:rPr>
          <w:rFonts w:hint="eastAsia"/>
          <w:lang w:val="en-US" w:eastAsia="zh-CN"/>
        </w:rPr>
        <w:t>服务数据管理制度</w:t>
      </w:r>
      <w:bookmarkEnd w:id="1"/>
    </w:p>
    <w:p w14:paraId="42BFD2D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8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6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324AC4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234B1BE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数智运营部</w:t>
            </w:r>
          </w:p>
        </w:tc>
        <w:tc>
          <w:tcPr>
            <w:tcW w:w="2708" w:type="dxa"/>
          </w:tcPr>
          <w:p w14:paraId="05AC309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09A792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0D99B43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5C38DDF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1B4777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2DD7503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 w14:paraId="014345D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3EAEDC25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6A8520F0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3FF75DB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4D68A59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4BDA339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1466C21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084973C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10EE899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594FD9C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0F5EB85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42282B6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 w14:paraId="3B97643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3C41BB9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102EB79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徐超超</w:t>
            </w:r>
          </w:p>
        </w:tc>
        <w:tc>
          <w:tcPr>
            <w:tcW w:w="1606" w:type="dxa"/>
          </w:tcPr>
          <w:p w14:paraId="0F7AEC9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 w14:paraId="0353A02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 w14:paraId="50EE490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9932D2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7B91A08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2AE8A8E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32A1AF1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BAA8E7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D4ABEF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AE0BD1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6407777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1167D9B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A82FA4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1D40440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7BB0533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2EDBDAB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1B82B04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29A6BD7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43A3F54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3E65239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5188622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0020199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F813FE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4B980491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5A91B736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48CDFE5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_Toc28791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_Toc28791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28687F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_Toc16158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服务数据管理制度</w:t>
          </w:r>
          <w:r>
            <w:tab/>
          </w:r>
          <w:r>
            <w:fldChar w:fldCharType="begin"/>
          </w:r>
          <w:r>
            <w:instrText xml:space="preserve"> PAGEREF _Toc16158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3C2848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_Toc5630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  <w:lang w:val="en-US" w:eastAsia="zh-CN"/>
            </w:rPr>
            <w:t>总则</w:t>
          </w:r>
          <w:r>
            <w:tab/>
          </w:r>
          <w:r>
            <w:fldChar w:fldCharType="begin"/>
          </w:r>
          <w:r>
            <w:instrText xml:space="preserve"> PAGEREF _Toc5630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B9FF03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_Toc7056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_Toc7056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527764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_Toc13368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适用范围</w:t>
          </w:r>
          <w:r>
            <w:tab/>
          </w:r>
          <w:r>
            <w:fldChar w:fldCharType="begin"/>
          </w:r>
          <w:r>
            <w:instrText xml:space="preserve"> PAGEREF _Toc13368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434909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_Toc22105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_Toc22105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C0FB2A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_Toc13077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_Toc13077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816F260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_Toc32054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1.4.1. 数智运营部</w:t>
          </w:r>
          <w:r>
            <w:tab/>
          </w:r>
          <w:r>
            <w:fldChar w:fldCharType="begin"/>
          </w:r>
          <w:r>
            <w:instrText xml:space="preserve"> PAGEREF _Toc32054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B2141EF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_Toc16583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1.4.2. 质量管理部</w:t>
          </w:r>
          <w:r>
            <w:tab/>
          </w:r>
          <w:r>
            <w:fldChar w:fldCharType="begin"/>
          </w:r>
          <w:r>
            <w:instrText xml:space="preserve"> PAGEREF _Toc16583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BF495F2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_Toc1895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1.4.3. 研究总院</w:t>
          </w:r>
          <w:r>
            <w:tab/>
          </w:r>
          <w:r>
            <w:fldChar w:fldCharType="begin"/>
          </w:r>
          <w:r>
            <w:instrText xml:space="preserve"> PAGEREF _Toc1895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12F6659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_Toc23035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1.4.4. 人力部</w:t>
          </w:r>
          <w:r>
            <w:tab/>
          </w:r>
          <w:r>
            <w:fldChar w:fldCharType="begin"/>
          </w:r>
          <w:r>
            <w:instrText xml:space="preserve"> PAGEREF _Toc23035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CD3B805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_Toc8083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1.4.5. 采购部</w:t>
          </w:r>
          <w:r>
            <w:tab/>
          </w:r>
          <w:r>
            <w:fldChar w:fldCharType="begin"/>
          </w:r>
          <w:r>
            <w:instrText xml:space="preserve"> PAGEREF _Toc8083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15BEA0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_Toc17601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引用依据</w:t>
          </w:r>
          <w:r>
            <w:tab/>
          </w:r>
          <w:r>
            <w:fldChar w:fldCharType="begin"/>
          </w:r>
          <w:r>
            <w:instrText xml:space="preserve"> PAGEREF _Toc17601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E3C3D0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_Toc10624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定义与术语</w:t>
          </w:r>
          <w:r>
            <w:tab/>
          </w:r>
          <w:r>
            <w:fldChar w:fldCharType="begin"/>
          </w:r>
          <w:r>
            <w:instrText xml:space="preserve"> PAGEREF _Toc10624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2BD0B4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_Toc7130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rPr>
              <w:rFonts w:hint="eastAsia"/>
            </w:rPr>
            <w:t>运维服务数据</w:t>
          </w:r>
          <w:r>
            <w:tab/>
          </w:r>
          <w:r>
            <w:fldChar w:fldCharType="begin"/>
          </w:r>
          <w:r>
            <w:instrText xml:space="preserve"> PAGEREF _Toc7130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27BE05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_Toc19131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rPr>
              <w:rFonts w:hint="eastAsia"/>
            </w:rPr>
            <w:t>数据资产目录</w:t>
          </w:r>
          <w:r>
            <w:tab/>
          </w:r>
          <w:r>
            <w:fldChar w:fldCharType="begin"/>
          </w:r>
          <w:r>
            <w:instrText xml:space="preserve"> PAGEREF _Toc19131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B7BAF8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_Toc13630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3.3. </w:t>
          </w:r>
          <w:r>
            <w:rPr>
              <w:rFonts w:hint="eastAsia"/>
            </w:rPr>
            <w:t>数据定级</w:t>
          </w:r>
          <w:r>
            <w:tab/>
          </w:r>
          <w:r>
            <w:fldChar w:fldCharType="begin"/>
          </w:r>
          <w:r>
            <w:instrText xml:space="preserve"> PAGEREF _Toc13630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736019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_Toc13680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管理内容与要求</w:t>
          </w:r>
          <w:r>
            <w:tab/>
          </w:r>
          <w:r>
            <w:fldChar w:fldCharType="begin"/>
          </w:r>
          <w:r>
            <w:instrText xml:space="preserve"> PAGEREF _Toc13680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E17DEC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_Toc17950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数据分类与定级</w:t>
          </w:r>
          <w:r>
            <w:tab/>
          </w:r>
          <w:r>
            <w:fldChar w:fldCharType="begin"/>
          </w:r>
          <w:r>
            <w:instrText xml:space="preserve"> PAGEREF _Toc17950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8A211C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_Toc12023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数据质量管理</w:t>
          </w:r>
          <w:r>
            <w:tab/>
          </w:r>
          <w:r>
            <w:fldChar w:fldCharType="begin"/>
          </w:r>
          <w:r>
            <w:instrText xml:space="preserve"> PAGEREF _Toc12023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D7039F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_Toc30640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数据安全管理</w:t>
          </w:r>
          <w:r>
            <w:tab/>
          </w:r>
          <w:r>
            <w:fldChar w:fldCharType="begin"/>
          </w:r>
          <w:r>
            <w:instrText xml:space="preserve"> PAGEREF _Toc30640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9F0627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_Toc22505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4.4. 数据生命周期管理</w:t>
          </w:r>
          <w:r>
            <w:tab/>
          </w:r>
          <w:r>
            <w:fldChar w:fldCharType="begin"/>
          </w:r>
          <w:r>
            <w:instrText xml:space="preserve"> PAGEREF _Toc22505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9A3D75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_Toc31613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4.5. 数据驱动决策机制</w:t>
          </w:r>
          <w:r>
            <w:tab/>
          </w:r>
          <w:r>
            <w:fldChar w:fldCharType="begin"/>
          </w:r>
          <w:r>
            <w:instrText xml:space="preserve"> PAGEREF _Toc31613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5FA245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_Toc10681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eastAsia="宋体"/>
              <w:lang w:val="en-US" w:eastAsia="zh-CN"/>
            </w:rPr>
            <w:t xml:space="preserve">5. </w:t>
          </w:r>
          <w:r>
            <w:rPr>
              <w:rFonts w:hint="eastAsia" w:eastAsia="宋体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_Toc10681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F1EABE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_Toc25359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_Toc25359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A1C8B3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_Toc32285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_Toc32285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8E44B30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45E8F360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53FB73A3">
      <w:pPr>
        <w:pStyle w:val="2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目的</w:t>
      </w:r>
    </w:p>
    <w:p w14:paraId="64DC5A12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规范公司信息技术服务过程中产生的各类服务数据的管理，确保数据的准确性、完整性、安全性和可用性，通过对服务数据的有效采集、分析与应用，驱动服务能力提升、支持管理决策，并为ITSS符合性评估及服务改进提供客观依据，特制定本制度。</w:t>
      </w:r>
    </w:p>
    <w:p w14:paraId="0FB7FF31">
      <w:pPr>
        <w:pStyle w:val="2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适用范围</w:t>
      </w:r>
    </w:p>
    <w:p w14:paraId="66D66331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本制度适用于公司运维服务活动中产生的所有服务数据，涵盖其识别、采集、存储、处理、分析、应用、归档及销毁的全生命周期管理。涉及部门包括数智运营部、质量管理部、研究总院、应急管理部等。</w:t>
      </w:r>
    </w:p>
    <w:p w14:paraId="2F71AA96">
      <w:pPr>
        <w:pStyle w:val="2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定义与术语</w:t>
      </w:r>
    </w:p>
    <w:p w14:paraId="048901E2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服务数据</w:t>
      </w:r>
    </w:p>
    <w:p w14:paraId="17A1B089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在运维服务交付、管理及支持过程中产生、记录和积累的所有结构化或非结构化数据，用于反映服务状态、质量、效率及客户满意度等信息。</w:t>
      </w:r>
    </w:p>
    <w:p w14:paraId="0E8B37C6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服务数据全生命周期</w:t>
      </w:r>
    </w:p>
    <w:p w14:paraId="12EDF2B5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指服务数据从产生（采集）、存储、处理、分析、应用、归档到最终销毁的完整过程。</w:t>
      </w:r>
    </w:p>
    <w:p w14:paraId="68E506B1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关键服务数据</w:t>
      </w:r>
    </w:p>
    <w:p w14:paraId="0D015256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对服务级别协议（SLA）达成、根本原因分析、服务决策有重大影响的数据，如事件解决时长、系统可用率、客户满意度评分等。</w:t>
      </w:r>
    </w:p>
    <w:p w14:paraId="328C0E5E">
      <w:pPr>
        <w:pStyle w:val="2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管理职责</w:t>
      </w:r>
    </w:p>
    <w:p w14:paraId="3752FDAA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数智运营部</w:t>
      </w:r>
    </w:p>
    <w:p w14:paraId="6D39E95D">
      <w:pPr>
        <w:pStyle w:val="40"/>
        <w:numPr>
          <w:ilvl w:val="0"/>
          <w:numId w:val="2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作为服务数据管理的归口部门，负责制定并维护本制度及实施细则。</w:t>
      </w:r>
    </w:p>
    <w:p w14:paraId="64420650">
      <w:pPr>
        <w:pStyle w:val="40"/>
        <w:numPr>
          <w:ilvl w:val="0"/>
          <w:numId w:val="2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负责服务数据的日常采集、清洗、存储和维护，确保数据源的稳定与数据质量。</w:t>
      </w:r>
    </w:p>
    <w:p w14:paraId="42D9E174">
      <w:pPr>
        <w:pStyle w:val="40"/>
        <w:numPr>
          <w:ilvl w:val="0"/>
          <w:numId w:val="2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负责服务数据的常规分析与应用，编制服务报告（如SLA报告、运营月报）。</w:t>
      </w:r>
    </w:p>
    <w:p w14:paraId="6D0C1C33">
      <w:pPr>
        <w:pStyle w:val="40"/>
        <w:numPr>
          <w:ilvl w:val="0"/>
          <w:numId w:val="2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基于数据分析结果，识别服务改进点并推动落实。</w:t>
      </w:r>
    </w:p>
    <w:p w14:paraId="4E0B8D71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质量管理部</w:t>
      </w:r>
    </w:p>
    <w:p w14:paraId="3C57B2E0">
      <w:pPr>
        <w:pStyle w:val="29"/>
        <w:numPr>
          <w:ilvl w:val="0"/>
          <w:numId w:val="0"/>
        </w:numPr>
        <w:bidi w:val="0"/>
        <w:ind w:left="420"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负责监督服务数据管理过程的合规性及数据质量。</w:t>
      </w:r>
    </w:p>
    <w:p w14:paraId="20A11506">
      <w:pPr>
        <w:pStyle w:val="29"/>
        <w:numPr>
          <w:ilvl w:val="0"/>
          <w:numId w:val="0"/>
        </w:numPr>
        <w:bidi w:val="0"/>
        <w:ind w:left="420"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负责对服务数据分析结果进行评审，确认其用于管理评审与持续改进的有效性。</w:t>
      </w:r>
    </w:p>
    <w:p w14:paraId="2C669781">
      <w:pPr>
        <w:pStyle w:val="29"/>
        <w:numPr>
          <w:ilvl w:val="0"/>
          <w:numId w:val="0"/>
        </w:numPr>
        <w:bidi w:val="0"/>
        <w:ind w:left="420"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负责组织基于服务数据的客户满意度调查与分析。</w:t>
      </w:r>
    </w:p>
    <w:p w14:paraId="41D09B90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研究总院</w:t>
      </w:r>
    </w:p>
    <w:p w14:paraId="762BFFF8">
      <w:pPr>
        <w:pStyle w:val="29"/>
        <w:numPr>
          <w:ilvl w:val="0"/>
          <w:numId w:val="0"/>
        </w:numPr>
        <w:bidi w:val="0"/>
        <w:ind w:left="420"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负责提供或开发服务数据采集、存储与分析所需的技术工具与平台支持。</w:t>
      </w:r>
    </w:p>
    <w:p w14:paraId="248AB578">
      <w:pPr>
        <w:pStyle w:val="29"/>
        <w:numPr>
          <w:ilvl w:val="0"/>
          <w:numId w:val="0"/>
        </w:numPr>
        <w:bidi w:val="0"/>
        <w:ind w:left="420"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协助解决服务数据管理过程中的重大技术问题。</w:t>
      </w:r>
    </w:p>
    <w:p w14:paraId="77886387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运维工程师</w:t>
      </w:r>
    </w:p>
    <w:p w14:paraId="0579CE03">
      <w:pPr>
        <w:pStyle w:val="29"/>
        <w:numPr>
          <w:ilvl w:val="0"/>
          <w:numId w:val="0"/>
        </w:numPr>
        <w:bidi w:val="0"/>
        <w:ind w:left="420"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负责服务数据管理系统的日常操作与维护。</w:t>
      </w:r>
    </w:p>
    <w:p w14:paraId="217C5D22">
      <w:pPr>
        <w:pStyle w:val="29"/>
        <w:numPr>
          <w:ilvl w:val="0"/>
          <w:numId w:val="0"/>
        </w:numPr>
        <w:bidi w:val="0"/>
        <w:ind w:left="420"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负责执行数据的定期备份、归档与清理操作。</w:t>
      </w:r>
    </w:p>
    <w:p w14:paraId="04FB7B17">
      <w:pPr>
        <w:pStyle w:val="29"/>
        <w:numPr>
          <w:ilvl w:val="0"/>
          <w:numId w:val="0"/>
        </w:numPr>
        <w:bidi w:val="0"/>
        <w:ind w:left="420"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协助进行基础的数据统计与报表生成。</w:t>
      </w:r>
    </w:p>
    <w:p w14:paraId="6C841194">
      <w:pPr>
        <w:pStyle w:val="2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服务数据管理内容与流程</w:t>
      </w:r>
    </w:p>
    <w:p w14:paraId="7E161C30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数据的识别与采集</w:t>
      </w:r>
    </w:p>
    <w:p w14:paraId="5F10D98F">
      <w:pPr>
        <w:pStyle w:val="29"/>
        <w:numPr>
          <w:ilvl w:val="0"/>
          <w:numId w:val="0"/>
        </w:numPr>
        <w:bidi w:val="0"/>
        <w:ind w:left="420"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明确需采集的服务数据范围，主要包括：</w:t>
      </w:r>
    </w:p>
    <w:p w14:paraId="37E02091">
      <w:pPr>
        <w:pStyle w:val="29"/>
        <w:numPr>
          <w:ilvl w:val="0"/>
          <w:numId w:val="0"/>
        </w:numPr>
        <w:bidi w:val="0"/>
        <w:ind w:left="420"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服务交付数据：事件/服务请求记录、解决时长、SLA达成率、变更成功率等。</w:t>
      </w:r>
    </w:p>
    <w:p w14:paraId="2DF931FA">
      <w:pPr>
        <w:pStyle w:val="29"/>
        <w:numPr>
          <w:ilvl w:val="0"/>
          <w:numId w:val="0"/>
        </w:numPr>
        <w:bidi w:val="0"/>
        <w:ind w:left="420"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资源监控数据： 系统性能指标（CPU、内存、磁盘、网络）、应用可用性、日志信息等。</w:t>
      </w:r>
    </w:p>
    <w:p w14:paraId="733E52AC">
      <w:pPr>
        <w:pStyle w:val="29"/>
        <w:numPr>
          <w:ilvl w:val="0"/>
          <w:numId w:val="0"/>
        </w:numPr>
        <w:bidi w:val="0"/>
        <w:ind w:left="420"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客户反馈数据： 满意度调查结果、投诉与建议记录。</w:t>
      </w:r>
    </w:p>
    <w:p w14:paraId="76BED393">
      <w:pPr>
        <w:pStyle w:val="29"/>
        <w:numPr>
          <w:ilvl w:val="0"/>
          <w:numId w:val="0"/>
        </w:numPr>
        <w:bidi w:val="0"/>
        <w:ind w:left="420"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管理运营数据： 人员工时、知识库使用率、工具利用率、成本数据等。</w:t>
      </w:r>
    </w:p>
    <w:p w14:paraId="354E98C5">
      <w:pPr>
        <w:pStyle w:val="29"/>
        <w:numPr>
          <w:ilvl w:val="0"/>
          <w:numId w:val="0"/>
        </w:numPr>
        <w:bidi w:val="0"/>
        <w:ind w:left="420"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建立自动化采集机制，确保数据采集的及时性、准确性和完整性。人工录入数据需建立复核机制。</w:t>
      </w:r>
    </w:p>
    <w:p w14:paraId="202D506D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数据的分类与规范</w:t>
      </w:r>
    </w:p>
    <w:p w14:paraId="02A4137E">
      <w:pPr>
        <w:pStyle w:val="29"/>
        <w:bidi w:val="0"/>
        <w:rPr>
          <w:rFonts w:hint="eastAsia"/>
          <w:lang w:val="en-US" w:eastAsia="zh-CN"/>
        </w:rPr>
      </w:pPr>
      <w:r>
        <w:rPr>
          <w:rFonts w:hint="default"/>
        </w:rPr>
        <w:t>为确保服务数据的统一性、规范性与可管理性，本制度明确服务数据的类型、具体内容及格式要求如下：</w:t>
      </w:r>
    </w:p>
    <w:p w14:paraId="6038A98D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数据的分类与类型</w:t>
      </w:r>
    </w:p>
    <w:tbl>
      <w:tblPr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46"/>
        <w:gridCol w:w="3740"/>
        <w:gridCol w:w="3636"/>
      </w:tblGrid>
      <w:tr w14:paraId="321A33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146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C9C1AC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数据类型</w:t>
            </w:r>
          </w:p>
        </w:tc>
        <w:tc>
          <w:tcPr>
            <w:tcW w:w="3740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2FB70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数据内容</w:t>
            </w:r>
          </w:p>
        </w:tc>
        <w:tc>
          <w:tcPr>
            <w:tcW w:w="3636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7C5AD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格式要求</w:t>
            </w:r>
          </w:p>
        </w:tc>
      </w:tr>
      <w:tr w14:paraId="44AF6F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46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8748B0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服务交付类</w:t>
            </w:r>
          </w:p>
        </w:tc>
        <w:tc>
          <w:tcPr>
            <w:tcW w:w="37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D038C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事件单号、服务请求类型、优先级、处理状态、解决时长、SLA达成情况、变更记录、知识库引用等</w:t>
            </w:r>
          </w:p>
        </w:tc>
        <w:tc>
          <w:tcPr>
            <w:tcW w:w="36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A306F6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结构化表格（如CSV、数据库表）、JSON格式</w:t>
            </w:r>
          </w:p>
        </w:tc>
      </w:tr>
      <w:tr w14:paraId="35C42E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46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0CC7BA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资源监控类</w:t>
            </w:r>
          </w:p>
        </w:tc>
        <w:tc>
          <w:tcPr>
            <w:tcW w:w="37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80EE2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CPU使用率、内存占用、磁盘空间、网络流量、应用响应时间、日志文件（系统/应用/安全日志）</w:t>
            </w:r>
          </w:p>
        </w:tc>
        <w:tc>
          <w:tcPr>
            <w:tcW w:w="36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20D435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时间序列数据（如Prometheus格式）、日志文件（文本/JSON）、监控图表（PNG/PDF）</w:t>
            </w:r>
          </w:p>
        </w:tc>
      </w:tr>
      <w:tr w14:paraId="461505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46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B593DE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客户反馈类</w:t>
            </w:r>
          </w:p>
        </w:tc>
        <w:tc>
          <w:tcPr>
            <w:tcW w:w="37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30F9D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满意度评分（1-5分）、投诉内容、建议描述、调查问卷结果、客户访谈记录</w:t>
            </w:r>
          </w:p>
        </w:tc>
        <w:tc>
          <w:tcPr>
            <w:tcW w:w="36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567419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调查表（Excel/在线表单）、文本记录、语音转写文档</w:t>
            </w:r>
          </w:p>
        </w:tc>
      </w:tr>
      <w:tr w14:paraId="1895DA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46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1B63B7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管理运营类</w:t>
            </w:r>
          </w:p>
        </w:tc>
        <w:tc>
          <w:tcPr>
            <w:tcW w:w="374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406C7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人员工时记录、工具使用统计、成本支出、培训记录、服务质量评审报告</w:t>
            </w:r>
          </w:p>
        </w:tc>
        <w:tc>
          <w:tcPr>
            <w:tcW w:w="36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F27B4A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Excel报表、数据库记录、PDF报告</w:t>
            </w:r>
          </w:p>
        </w:tc>
      </w:tr>
    </w:tbl>
    <w:p w14:paraId="0762BF53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数据内容与规范</w:t>
      </w:r>
    </w:p>
    <w:p w14:paraId="4BEF180D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必填字段：每类数据应包含时间戳、数据来源、责任人、数据状态等信息。</w:t>
      </w:r>
    </w:p>
    <w:p w14:paraId="6DAA755E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数据字典：建立统一的数据字典，明确字段名称、类型、长度、取值规范及示例等信息 。</w:t>
      </w:r>
    </w:p>
    <w:p w14:paraId="0B3CA07A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数据标签：支持按项目、客户、服务级别、数据等级等维度进行标签化管理。</w:t>
      </w:r>
    </w:p>
    <w:p w14:paraId="7A18E2A4">
      <w:pPr>
        <w:pStyle w:val="3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数据标准格式</w:t>
      </w:r>
    </w:p>
    <w:p w14:paraId="3892AB0D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结构化数据：优先采用数据库存储，支持SQL查询与API接口调用。</w:t>
      </w:r>
    </w:p>
    <w:p w14:paraId="49A5BC70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非结构化数据：日志、文档、图片等应当按目录分类存储，并建立索引。</w:t>
      </w:r>
    </w:p>
    <w:p w14:paraId="082A14F8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报告类数据：统一使用公司模板，输出为PDF格式，确保格式一致。</w:t>
      </w:r>
      <w:bookmarkStart w:id="2" w:name="_GoBack"/>
      <w:bookmarkEnd w:id="2"/>
    </w:p>
    <w:p w14:paraId="2BAAE8D5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数据的存储与安全</w:t>
      </w:r>
    </w:p>
    <w:p w14:paraId="75705C39">
      <w:pPr>
        <w:pStyle w:val="29"/>
        <w:numPr>
          <w:ilvl w:val="0"/>
          <w:numId w:val="0"/>
        </w:numPr>
        <w:bidi w:val="0"/>
        <w:ind w:left="420"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服务数据应存储在安全、稳定、可控的专用存储系统或数据库中。</w:t>
      </w:r>
    </w:p>
    <w:p w14:paraId="08B27F5F">
      <w:pPr>
        <w:pStyle w:val="29"/>
        <w:numPr>
          <w:ilvl w:val="0"/>
          <w:numId w:val="0"/>
        </w:numPr>
        <w:bidi w:val="0"/>
        <w:ind w:left="420"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根据数据敏感级别，实施分级分类的访问控制策略，确保数据保密性。核心数据操作日志应完整记录并审计。</w:t>
      </w:r>
    </w:p>
    <w:p w14:paraId="246A91D7">
      <w:pPr>
        <w:pStyle w:val="29"/>
        <w:numPr>
          <w:ilvl w:val="0"/>
          <w:numId w:val="0"/>
        </w:numPr>
        <w:bidi w:val="0"/>
        <w:ind w:left="420"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建立服务数据备份与恢复机制，定期验证备份有效性，防止数据丢失。</w:t>
      </w:r>
    </w:p>
    <w:p w14:paraId="198658B3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数据的处理与分析</w:t>
      </w:r>
    </w:p>
    <w:p w14:paraId="60966F68">
      <w:pPr>
        <w:pStyle w:val="29"/>
        <w:numPr>
          <w:ilvl w:val="0"/>
          <w:numId w:val="0"/>
        </w:numPr>
        <w:bidi w:val="0"/>
        <w:ind w:left="420"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定期对采集的原始数据进行清洗、转换和整合，确保数据一致性。</w:t>
      </w:r>
    </w:p>
    <w:p w14:paraId="1A9E971B">
      <w:pPr>
        <w:pStyle w:val="29"/>
        <w:numPr>
          <w:ilvl w:val="0"/>
          <w:numId w:val="0"/>
        </w:numPr>
        <w:bidi w:val="0"/>
        <w:ind w:left="420"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运用统计分析、趋势分析等方法，对服务数据进行多维度分析，形成：</w:t>
      </w:r>
    </w:p>
    <w:p w14:paraId="6D5AC6F3">
      <w:pPr>
        <w:pStyle w:val="29"/>
        <w:numPr>
          <w:ilvl w:val="0"/>
          <w:numId w:val="3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运营性报告：反映实时或近期服务状态（如日报、周报）。</w:t>
      </w:r>
    </w:p>
    <w:p w14:paraId="30D40B91">
      <w:pPr>
        <w:pStyle w:val="29"/>
        <w:numPr>
          <w:ilvl w:val="0"/>
          <w:numId w:val="3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战术性分析：识别流程瓶颈、资源瓶颈或重复发生的问题。</w:t>
      </w:r>
    </w:p>
    <w:p w14:paraId="402E3B79">
      <w:pPr>
        <w:pStyle w:val="29"/>
        <w:numPr>
          <w:ilvl w:val="0"/>
          <w:numId w:val="3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战略性洞察：评估服务长期趋势，预测未来需求与风险。</w:t>
      </w:r>
    </w:p>
    <w:p w14:paraId="37C01F9C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数据的应用与改进</w:t>
      </w:r>
    </w:p>
    <w:p w14:paraId="2004FAD9">
      <w:pPr>
        <w:pStyle w:val="29"/>
        <w:numPr>
          <w:ilvl w:val="0"/>
          <w:numId w:val="0"/>
        </w:numPr>
        <w:bidi w:val="0"/>
        <w:ind w:left="420"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服务数据分析结果应应用于：</w:t>
      </w:r>
    </w:p>
    <w:p w14:paraId="33AC47C2">
      <w:pPr>
        <w:pStyle w:val="29"/>
        <w:numPr>
          <w:ilvl w:val="0"/>
          <w:numId w:val="4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服务报告：定期向客户及管理层提交SLA达成情况与服务绩效报告。</w:t>
      </w:r>
    </w:p>
    <w:p w14:paraId="77AB2CAC">
      <w:pPr>
        <w:pStyle w:val="29"/>
        <w:numPr>
          <w:ilvl w:val="0"/>
          <w:numId w:val="4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管理决策：为资源规划、预算制定、流程优化提供数据支持。</w:t>
      </w:r>
    </w:p>
    <w:p w14:paraId="5D86E3CE">
      <w:pPr>
        <w:pStyle w:val="29"/>
        <w:numPr>
          <w:ilvl w:val="0"/>
          <w:numId w:val="4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持续改进：作为服务改进计划（如《服务改进措施表》）输入的根本依据。</w:t>
      </w:r>
    </w:p>
    <w:p w14:paraId="7EEB4B41">
      <w:pPr>
        <w:pStyle w:val="29"/>
        <w:numPr>
          <w:ilvl w:val="0"/>
          <w:numId w:val="4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知识积累：将分析获得的经验、模式转化为知识库条目。</w:t>
      </w:r>
    </w:p>
    <w:p w14:paraId="6127BE44">
      <w:pPr>
        <w:pStyle w:val="29"/>
        <w:numPr>
          <w:ilvl w:val="0"/>
          <w:numId w:val="4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质量管理部应组织对数据分析结论及改进措施有效性的评审。</w:t>
      </w:r>
    </w:p>
    <w:p w14:paraId="2A06510C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数据的归档与销毁</w:t>
      </w:r>
    </w:p>
    <w:p w14:paraId="5EF98644">
      <w:pPr>
        <w:pStyle w:val="29"/>
        <w:numPr>
          <w:ilvl w:val="0"/>
          <w:numId w:val="0"/>
        </w:numPr>
        <w:bidi w:val="0"/>
        <w:ind w:left="420"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定义不同类型服务数据的保留期限，符合法律法规及合同要求。</w:t>
      </w:r>
    </w:p>
    <w:p w14:paraId="669C66F2">
      <w:pPr>
        <w:pStyle w:val="29"/>
        <w:numPr>
          <w:ilvl w:val="0"/>
          <w:numId w:val="0"/>
        </w:numPr>
        <w:bidi w:val="0"/>
        <w:ind w:left="420"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到期数据应按规定流程安全归档或彻底销毁，并保留操作记录。</w:t>
      </w:r>
    </w:p>
    <w:p w14:paraId="638065ED">
      <w:pPr>
        <w:pStyle w:val="28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考核指标</w:t>
      </w:r>
    </w:p>
    <w:tbl>
      <w:tblPr>
        <w:tblStyle w:val="20"/>
        <w:tblW w:w="8504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5"/>
        <w:gridCol w:w="1108"/>
        <w:gridCol w:w="5035"/>
        <w:gridCol w:w="926"/>
      </w:tblGrid>
      <w:tr w14:paraId="18D94A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14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0115BDE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KPI</w:t>
            </w:r>
          </w:p>
        </w:tc>
        <w:tc>
          <w:tcPr>
            <w:tcW w:w="11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1B2BC3C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目标值</w:t>
            </w:r>
          </w:p>
        </w:tc>
        <w:tc>
          <w:tcPr>
            <w:tcW w:w="50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27BE0D5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计算公式/方法</w:t>
            </w:r>
          </w:p>
        </w:tc>
        <w:tc>
          <w:tcPr>
            <w:tcW w:w="9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7468AE3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频度</w:t>
            </w:r>
          </w:p>
        </w:tc>
      </w:tr>
      <w:tr w14:paraId="3D8A3C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14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E5575B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服务数据分析利用次数</w:t>
            </w:r>
          </w:p>
        </w:tc>
        <w:tc>
          <w:tcPr>
            <w:tcW w:w="11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229F5E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≥</w:t>
            </w: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3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次</w:t>
            </w:r>
          </w:p>
        </w:tc>
        <w:tc>
          <w:tcPr>
            <w:tcW w:w="50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970E07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数量，服务数据分析使用报告数</w:t>
            </w:r>
          </w:p>
        </w:tc>
        <w:tc>
          <w:tcPr>
            <w:tcW w:w="9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4CBB3C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季度</w:t>
            </w:r>
          </w:p>
        </w:tc>
      </w:tr>
    </w:tbl>
    <w:p w14:paraId="3F61D9EF">
      <w:pPr>
        <w:pStyle w:val="2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附则</w:t>
      </w:r>
    </w:p>
    <w:p w14:paraId="51E1C86C">
      <w:pPr>
        <w:pStyle w:val="29"/>
        <w:numPr>
          <w:ilvl w:val="0"/>
          <w:numId w:val="0"/>
        </w:numPr>
        <w:bidi w:val="0"/>
        <w:ind w:left="420"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本制度自发布之日起执行，由数智运营部负责解释与修订。本制度与《服务台管理制度》、《服务知识管理制度》、《运维服务工具管理制度》等配套使用。</w:t>
      </w:r>
    </w:p>
    <w:sectPr>
      <w:headerReference r:id="rId5" w:type="default"/>
      <w:footerReference r:id="rId6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415EB90">
    <w:pPr>
      <w:pStyle w:val="14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76EC90F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2E1D44D"/>
    <w:multiLevelType w:val="singleLevel"/>
    <w:tmpl w:val="92E1D44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ADC5FD62"/>
    <w:multiLevelType w:val="singleLevel"/>
    <w:tmpl w:val="ADC5FD6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39E445F3"/>
    <w:multiLevelType w:val="singleLevel"/>
    <w:tmpl w:val="39E445F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A1C6C9E"/>
    <w:rsid w:val="20CC5834"/>
    <w:rsid w:val="5F946457"/>
    <w:rsid w:val="61031A9B"/>
    <w:rsid w:val="644614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1802</Words>
  <Characters>1939</Characters>
  <Lines>0</Lines>
  <Paragraphs>0</Paragraphs>
  <TotalTime>10</TotalTime>
  <ScaleCrop>false</ScaleCrop>
  <LinksUpToDate>false</LinksUpToDate>
  <CharactersWithSpaces>2045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2026-02-03T21:34:55Z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2052-12.1.0.24657</vt:lpwstr>
  </property>
  <property fmtid="{D5CDD505-2E9C-101B-9397-08002B2CF9AE}" pid="4" name="KSOTemplateDocerSaveRecord">
    <vt:lpwstr>eyJoZGlkIjoiZWI4NmUzMGY2ODA3MDc4ZTFlMjZjZTAyMjM0NmVmODgiLCJ1c2VySWQiOiIxMDc1MzgyOSJ9</vt:lpwstr>
  </property>
</Properties>
</file>