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mbeddings/Microsoft_Office_Excel_Worksheet1.xlsx" ContentType="application/vnd.openxmlformats-officedocument.spreadsheetml.shee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0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3426"/>
      <w:r>
        <w:rPr>
          <w:rFonts w:hint="eastAsia"/>
          <w:lang w:val="en-US" w:eastAsia="zh-CN"/>
        </w:rPr>
        <w:t>服务数据应用情况说明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_Toc15007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_Toc23426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服务数据应用情况说明</w:t>
          </w:r>
          <w:r>
            <w:tab/>
          </w:r>
          <w:r>
            <w:fldChar w:fldCharType="begin"/>
          </w:r>
          <w:r>
            <w:instrText xml:space="preserve"> PAGEREF _Toc23426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管理体系构建与职责落地</w:t>
          </w:r>
          <w:r>
            <w:tab/>
          </w:r>
          <w:r>
            <w:fldChar w:fldCharType="begin"/>
          </w:r>
          <w:r>
            <w:instrText xml:space="preserve"> PAGEREF _Toc5044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制度与流程确立</w:t>
          </w:r>
          <w:r>
            <w:tab/>
          </w:r>
          <w:r>
            <w:fldChar w:fldCharType="begin"/>
          </w:r>
          <w:r>
            <w:instrText xml:space="preserve"> PAGEREF _Toc8058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_Toc4167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跨部门协同机制运行</w:t>
          </w:r>
          <w:r>
            <w:tab/>
          </w:r>
          <w:r>
            <w:fldChar w:fldCharType="begin"/>
          </w:r>
          <w:r>
            <w:instrText xml:space="preserve"> PAGEREF _Toc4167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服务数据管理全流程实施情况</w:t>
          </w:r>
          <w:r>
            <w:tab/>
          </w:r>
          <w:r>
            <w:fldChar w:fldCharType="begin"/>
          </w:r>
          <w:r>
            <w:instrText xml:space="preserve"> PAGEREF _Toc11759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数据识别与规范化采集</w:t>
          </w:r>
          <w:r>
            <w:tab/>
          </w:r>
          <w:r>
            <w:fldChar w:fldCharType="begin"/>
          </w:r>
          <w:r>
            <w:instrText xml:space="preserve"> PAGEREF _Toc16251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数据存储、安全与质量保障</w:t>
          </w:r>
          <w:r>
            <w:tab/>
          </w:r>
          <w:r>
            <w:fldChar w:fldCharType="begin"/>
          </w:r>
          <w:r>
            <w:instrText xml:space="preserve"> PAGEREF _Toc23359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数据处理、分析与应用深化</w:t>
          </w:r>
          <w:r>
            <w:tab/>
          </w:r>
          <w:r>
            <w:fldChar w:fldCharType="begin"/>
          </w:r>
          <w:r>
            <w:instrText xml:space="preserve"> PAGEREF _Toc9968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考核指标达成情况</w:t>
          </w:r>
          <w:r>
            <w:tab/>
          </w:r>
          <w:r>
            <w:fldChar w:fldCharType="begin"/>
          </w:r>
          <w:r>
            <w:instrText xml:space="preserve"> PAGEREF _Toc30293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实施成效与后续优化方向</w:t>
          </w:r>
          <w:r>
            <w:tab/>
          </w:r>
          <w:r>
            <w:fldChar w:fldCharType="begin"/>
          </w:r>
          <w:r>
            <w:instrText xml:space="preserve"> PAGEREF _Toc619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主要成效</w:t>
          </w:r>
          <w:r>
            <w:tab/>
          </w:r>
          <w:r>
            <w:fldChar w:fldCharType="begin"/>
          </w:r>
          <w:r>
            <w:instrText xml:space="preserve"> PAGEREF _Toc31304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持续优化方向</w:t>
          </w:r>
          <w:r>
            <w:tab/>
          </w:r>
          <w:r>
            <w:fldChar w:fldCharType="begin"/>
          </w:r>
          <w:r>
            <w:instrText xml:space="preserve"> PAGEREF _Toc23941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总结</w:t>
          </w:r>
          <w:r>
            <w:tab/>
          </w:r>
          <w:r>
            <w:fldChar w:fldCharType="begin"/>
          </w:r>
          <w:r>
            <w:instrText xml:space="preserve"> PAGEREF _Toc13757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化落实《服务数据管理制度》，提升运维服务数据的治理水平与应用价值，驱动服务能力提升与管理决策科学化，公司自制度发布以来，已全面推进服务数据全生命周期管理体系的建设与实践。截至2025年11月的应用情况说明如下</w:t>
      </w:r>
      <w:r>
        <w:rPr>
          <w:rFonts w:hint="eastAsia"/>
          <w:lang w:val="en-US" w:eastAsia="zh-CN"/>
        </w:rPr>
        <w:t>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5044"/>
      <w:r>
        <w:rPr>
          <w:rFonts w:hint="default"/>
          <w:lang w:val="en-US" w:eastAsia="zh-CN"/>
        </w:rPr>
        <w:t>管理体系构建与职责落地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8058"/>
      <w:r>
        <w:rPr>
          <w:rFonts w:hint="default"/>
          <w:lang w:val="en-US" w:eastAsia="zh-CN"/>
        </w:rPr>
        <w:t>制度与流程确立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已依据制度要求，建立了覆盖数据“识别采集、存储处理、分析应用、归档销毁”的全周期管理流程与规范，明确了各环节的操作标准与输出物。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4167"/>
      <w:r>
        <w:rPr>
          <w:rFonts w:hint="default"/>
          <w:lang w:val="en-US" w:eastAsia="zh-CN"/>
        </w:rPr>
        <w:t>跨部门协同机制运行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数智运营部作为归口管理部门，牵头负责数据日常管理、分析应用及报告编制。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质量管理部履行监督评审职责，对数据质量及分析结论的有效性进行把关。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研究总院提供必要的工具与平台技术支持，保障数据管理的技术基础。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运维工程师等一线角色，负责数据录入、系统维护及基础统计，确保数据源的准确与稳定。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759"/>
      <w:r>
        <w:rPr>
          <w:rFonts w:hint="default"/>
          <w:lang w:val="en-US" w:eastAsia="zh-CN"/>
        </w:rPr>
        <w:t>服务数据管理全流程实施情况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251"/>
      <w:r>
        <w:rPr>
          <w:rFonts w:hint="default"/>
          <w:lang w:val="en-US" w:eastAsia="zh-CN"/>
        </w:rPr>
        <w:t>数据识别与规范化采集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集范围明确：已系统识别并确定四大类核心服务数据的采集范围，包括：服务交付数据（事件/请求、SLA达成率）、资源监控数据（性能指标、日志）、客户反馈数据（满意度调查）及管理运营数据（工时、知识使用率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采集机制建立：初步建立了以运维管理系统</w:t>
      </w:r>
      <w:bookmarkStart w:id="7" w:name="_GoBack"/>
      <w:bookmarkEnd w:id="7"/>
      <w:r>
        <w:rPr>
          <w:rFonts w:hint="default"/>
          <w:lang w:val="en-US" w:eastAsia="zh-CN"/>
        </w:rPr>
        <w:t>为主体的自动化采集与人工录入复核相结合的机制，确保关键数据采集的及时性与完整性。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3359"/>
      <w:r>
        <w:rPr>
          <w:rFonts w:hint="default"/>
          <w:lang w:val="en-US" w:eastAsia="zh-CN"/>
        </w:rPr>
        <w:t>数据存储、安全与质量保障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集中化存储：服务数据已实现集中存储于受控的数据库或专用存储中，初步形成结构化数据资产。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安全管控：依据数据敏感性实施了分级访问控制，关键操作日志完整记录，并已建立月度备份机制，保障数据安全与可恢复性。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质量治理启动：通过制定数据录入规范与建立定期抽查机制，启动了数据准确性、一致性的初步治理工作。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9968"/>
      <w:r>
        <w:rPr>
          <w:rFonts w:hint="default"/>
          <w:lang w:val="en-US" w:eastAsia="zh-CN"/>
        </w:rPr>
        <w:t>数据处理、分析与应用深化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常态化分析机制：已建立季度服务数据定期分析机制。通过对采集数据的清洗、整合与多维度分析（如趋势分析、根本原因分析），已编制并发布《运维服务季度分析报告》共3期。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数据驱动决策实践：分析结果已应用于多个管理场景：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服务报告：作为向管理层及客户汇报SLA达成情况与服务绩效的核心依据。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运营改进：识别了高频事件类型及处理瓶颈，为优化排班、知识库建设及流程简化提供了明确输入。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资源规划：利用系统负载与事件趋势数据，辅助进行基础设施容量预估与资源调配决策。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0293"/>
      <w:r>
        <w:rPr>
          <w:rFonts w:hint="default"/>
          <w:lang w:val="en-US" w:eastAsia="zh-CN"/>
        </w:rPr>
        <w:t>考核指标达成情况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2988310"/>
            <wp:effectExtent l="5080" t="4445" r="11430" b="9525"/>
            <wp:docPr id="13" name="图表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制度设定的核心考核指标为“服务数据分析利用次数”，目标为每季度不少于 3次。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2025年第一季度：围绕SLA达成情况、事件类型分布及处理效率完成数据分析与应用，输出分析报告并用于管理评审，当期有效利用次数为3次。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2025年第二季度：针对系统性能趋势、高频问题根因及知识库使用效果进行深入分析，相关结论支撑了资源调配与流程优化决策，当期有效利用次数为3次。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2025年第三季度：结合客户满意度调查结果，开展了服务质量关联分析，并完成了运维成本效能的数据洞察，当期有效利用次数为 4次，超额完成目标。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截至2025年11月，本年度累计完成服务数据分析与有效利用10次，各季度均达到或超过考核目标，数据驱动决策与改进的机制已实现常态化、高频次运行。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619"/>
      <w:r>
        <w:rPr>
          <w:rFonts w:hint="default"/>
          <w:lang w:val="en-US" w:eastAsia="zh-CN"/>
        </w:rPr>
        <w:t>实施成效与后续优化方向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31304"/>
      <w:r>
        <w:rPr>
          <w:rFonts w:hint="default"/>
          <w:lang w:val="en-US" w:eastAsia="zh-CN"/>
        </w:rPr>
        <w:t>主要成效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决策科学化提升：管理决策从经验驱动逐步转向“数据+经验”双驱动，决策依据更为客观。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服务过程可视化：通过定期报告，使服务状态、质量与效率变得可衡量、可呈现，提升了内外部沟通效率。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持续改进闭环：数据分析已成为识别服务短板、触发改进措施（如流程优化、培训需求）的关键输入，推动了服务能力的迭代提升。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3941"/>
      <w:r>
        <w:rPr>
          <w:rFonts w:hint="default"/>
          <w:lang w:val="en-US" w:eastAsia="zh-CN"/>
        </w:rPr>
        <w:t>持续优化方向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深化分析洞察：计划引入更高级的分析模型（如预测性分析），从“描述现状”向“预测预警”和“处方建议”深化。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提升数据质量与自动化：将进一步优化数据采集源头质量，并探索利用工具实现更多报表的自动化生成，提升效率。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扩大数据应用范围：探索将服务数据与财务、项目等数据关联分析，以评估服务投入产出比（ROI），支撑更全面的经营管理。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加强数据文化培育：通过培训与分享，提升全员的数据敏感度和基于数据发现问题、解决问题的能力。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3757"/>
      <w:r>
        <w:rPr>
          <w:rFonts w:hint="default"/>
          <w:lang w:val="en-US" w:eastAsia="zh-CN"/>
        </w:rPr>
        <w:t>总结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而言，《服务数据管理制度》已得到有效实施，服务数据的管理框架、流程与基础能力已初步构建。数据作为核心资产的价值正通过常态化的分析与应用得以释放，在支撑精准决策、驱动服务优化方面发挥了重要作用。后续，数智运营部将持续完善数据治理体系，深化数据应用场景，充分挖掘数据潜能，为公司的数智化运营与高质量发展提供坚实的数据动力。</w:t>
      </w:r>
    </w:p>
    <w:sectPr>
      <w:head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chart" Target="charts/chart1.xml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Office_Excel_Worksheet1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2025</a:t>
            </a:r>
            <a:r>
              <a:rPr altLang="en-US"/>
              <a:t>年服务数据分析利用趋势图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服务数据分析利用次数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Sheet1!$A$2:$A$4</c:f>
              <c:strCache>
                <c:ptCount val="3"/>
                <c:pt idx="0">
                  <c:v>一季度</c:v>
                </c:pt>
                <c:pt idx="1">
                  <c:v>二季度</c:v>
                </c:pt>
                <c:pt idx="2">
                  <c:v>三季度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3</c:v>
                </c:pt>
                <c:pt idx="2">
                  <c:v>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dropLines>
        <c:marker val="0"/>
        <c:smooth val="0"/>
        <c:axId val="666549433"/>
        <c:axId val="341988875"/>
      </c:lineChart>
      <c:catAx>
        <c:axId val="666549433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季度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41988875"/>
        <c:crosses val="autoZero"/>
        <c:auto val="1"/>
        <c:lblAlgn val="ctr"/>
        <c:lblOffset val="100"/>
        <c:noMultiLvlLbl val="0"/>
      </c:catAx>
      <c:valAx>
        <c:axId val="341988875"/>
        <c:scaling>
          <c:orientation val="minMax"/>
          <c:max val="5"/>
          <c:min val="2.5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altLang="en-US"/>
                  <a:t>服务数据分析利用次数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66549433"/>
        <c:crosses val="autoZero"/>
        <c:crossBetween val="between"/>
        <c:majorUnit val="0.5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29612ab-04bc-407b-b1ac-184fe8b0bd8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2003</Words>
  <Characters>2110</Characters>
  <Application>Microsoft Office Word</Application>
  <DocSecurity>0</DocSecurity>
  <Lines>0</Lines>
  <Paragraphs>0</Paragraphs>
  <ScaleCrop>false</ScaleCrop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2026-01-28T17:11:29Z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