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521E39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2" w:name="_GoBack"/>
      <w:bookmarkStart w:id="0" w:name="_Toc25714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2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1080360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8417"/>
      <w:r>
        <w:rPr>
          <w:rFonts w:hint="eastAsia"/>
          <w:lang w:val="en-US" w:eastAsia="zh-CN"/>
        </w:rPr>
        <w:t>运维服务工具自评估报告</w:t>
      </w:r>
      <w:bookmarkEnd w:id="1"/>
    </w:p>
    <w:p w14:paraId="12F20FE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0AD80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E78EA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320F9C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</w:p>
        </w:tc>
      </w:tr>
      <w:tr w14:paraId="2C6F5A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09261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FC739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</w:p>
        </w:tc>
      </w:tr>
      <w:tr w14:paraId="7A1F36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76385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41ED4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</w:p>
        </w:tc>
      </w:tr>
    </w:tbl>
    <w:p w14:paraId="2589FB9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5BB159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388346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0E7728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528D6A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_Toc25714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_Toc25714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D8783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运维服务工具自评估报告</w:t>
          </w:r>
          <w:r>
            <w:tab/>
          </w:r>
          <w:r>
            <w:fldChar w:fldCharType="begin"/>
          </w:r>
          <w:r>
            <w:instrText xml:space="preserve"> PAGEREF _Toc28417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94CE9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_Toc2289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23D4C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4CD67A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r:id="rId5" w:type="default"/>
          <w:pgSz w:w="11906" w:h="16838"/>
          <w:pgMar w:top="1417" w:right="1800" w:bottom="1440" w:left="1800" w:header="1140" w:footer="992" w:gutter="0"/>
          <w:cols w:space="425" w:num="1"/>
          <w:docGrid w:type="lines" w:linePitch="312" w:charSpace="0"/>
        </w:sect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8AEF452">
      <w:pPr>
        <w:pStyle w:val="29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对运维工具使用情况进行评估,为后期工作提供指导意见</w:t>
      </w:r>
    </w:p>
    <w:tbl>
      <w:tblPr>
        <w:tblStyle w:val="26"/>
        <w:tblW w:w="14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1307"/>
        <w:gridCol w:w="2874"/>
        <w:gridCol w:w="2543"/>
        <w:gridCol w:w="1986"/>
        <w:gridCol w:w="3196"/>
        <w:gridCol w:w="1343"/>
      </w:tblGrid>
      <w:tr w14:paraId="147470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1" w:hRule="atLeast"/>
        </w:trPr>
        <w:tc>
          <w:tcPr>
            <w:tcW w:w="1275" w:type="dxa"/>
            <w:shd w:val="clear" w:color="auto" w:fill="E5E5E5"/>
          </w:tcPr>
          <w:p w14:paraId="252529DE">
            <w:pPr>
              <w:spacing w:before="215" w:line="289" w:lineRule="auto"/>
              <w:ind w:left="538" w:right="110" w:hanging="42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1307" w:type="dxa"/>
            <w:shd w:val="clear" w:color="auto" w:fill="E5E5E5"/>
          </w:tcPr>
          <w:p w14:paraId="6C22D823">
            <w:pPr>
              <w:pStyle w:val="27"/>
              <w:spacing w:line="303" w:lineRule="auto"/>
            </w:pPr>
          </w:p>
          <w:p w14:paraId="4FDDB876">
            <w:pPr>
              <w:spacing w:before="65" w:line="229" w:lineRule="auto"/>
              <w:ind w:left="23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2874" w:type="dxa"/>
            <w:shd w:val="clear" w:color="auto" w:fill="E5E5E5"/>
          </w:tcPr>
          <w:p w14:paraId="3A176312">
            <w:pPr>
              <w:spacing w:before="214" w:line="229" w:lineRule="auto"/>
              <w:ind w:left="52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主要功能</w:t>
            </w:r>
          </w:p>
          <w:p w14:paraId="108A8E38">
            <w:pPr>
              <w:spacing w:before="63" w:line="228" w:lineRule="auto"/>
              <w:ind w:left="1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（关键功能说明）</w:t>
            </w:r>
          </w:p>
        </w:tc>
        <w:tc>
          <w:tcPr>
            <w:tcW w:w="2543" w:type="dxa"/>
            <w:shd w:val="clear" w:color="auto" w:fill="E5E5E5"/>
          </w:tcPr>
          <w:p w14:paraId="19B292DE">
            <w:pPr>
              <w:spacing w:before="214" w:line="228" w:lineRule="auto"/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使用情况说明</w:t>
            </w:r>
          </w:p>
          <w:p w14:paraId="672DB286">
            <w:pPr>
              <w:spacing w:before="214" w:line="228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（工具使用的客户及项目）</w:t>
            </w:r>
          </w:p>
        </w:tc>
        <w:tc>
          <w:tcPr>
            <w:tcW w:w="1986" w:type="dxa"/>
            <w:shd w:val="clear" w:color="auto" w:fill="E5E5E5"/>
          </w:tcPr>
          <w:p w14:paraId="1DC18C44">
            <w:pPr>
              <w:spacing w:before="58" w:line="228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工具来源</w:t>
            </w:r>
          </w:p>
          <w:p w14:paraId="4843EE1E">
            <w:pPr>
              <w:spacing w:before="66" w:line="263" w:lineRule="auto"/>
              <w:ind w:right="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（开源工具、</w:t>
            </w:r>
            <w:r>
              <w:rPr>
                <w:rFonts w:ascii="宋体" w:hAnsi="宋体" w:eastAsia="宋体" w:cs="宋体"/>
                <w:spacing w:val="-44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自主</w:t>
            </w: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研发、外购的说明）</w:t>
            </w:r>
          </w:p>
        </w:tc>
        <w:tc>
          <w:tcPr>
            <w:tcW w:w="3196" w:type="dxa"/>
            <w:shd w:val="clear" w:color="auto" w:fill="E5E5E5"/>
          </w:tcPr>
          <w:p w14:paraId="3C810779">
            <w:pPr>
              <w:pStyle w:val="27"/>
              <w:spacing w:line="303" w:lineRule="auto"/>
            </w:pPr>
          </w:p>
          <w:p w14:paraId="0182F29C">
            <w:pPr>
              <w:spacing w:before="65" w:line="226" w:lineRule="auto"/>
              <w:ind w:left="76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343" w:type="dxa"/>
            <w:shd w:val="clear" w:color="auto" w:fill="E5E5E5"/>
          </w:tcPr>
          <w:p w14:paraId="7F146C99">
            <w:pPr>
              <w:spacing w:before="215" w:line="290" w:lineRule="auto"/>
              <w:ind w:left="476" w:right="302" w:hanging="16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 w14:paraId="546817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2" w:hRule="atLeast"/>
        </w:trPr>
        <w:tc>
          <w:tcPr>
            <w:tcW w:w="1275" w:type="dxa"/>
            <w:vMerge w:val="restart"/>
          </w:tcPr>
          <w:p w14:paraId="048A87F6">
            <w:pPr>
              <w:pStyle w:val="27"/>
              <w:spacing w:line="261" w:lineRule="auto"/>
            </w:pPr>
          </w:p>
          <w:p w14:paraId="07A1AEC3">
            <w:pPr>
              <w:pStyle w:val="27"/>
              <w:spacing w:line="261" w:lineRule="auto"/>
            </w:pPr>
          </w:p>
          <w:p w14:paraId="71637FA1">
            <w:pPr>
              <w:pStyle w:val="27"/>
              <w:spacing w:line="261" w:lineRule="auto"/>
            </w:pPr>
          </w:p>
          <w:p w14:paraId="792F44A1">
            <w:pPr>
              <w:pStyle w:val="27"/>
              <w:spacing w:line="262" w:lineRule="auto"/>
            </w:pPr>
          </w:p>
          <w:p w14:paraId="476BED3F">
            <w:pPr>
              <w:spacing w:before="78" w:line="243" w:lineRule="auto"/>
              <w:ind w:left="404" w:right="154" w:hanging="2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过程管理</w:t>
            </w: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工具</w:t>
            </w:r>
          </w:p>
        </w:tc>
        <w:tc>
          <w:tcPr>
            <w:tcW w:w="1307" w:type="dxa"/>
          </w:tcPr>
          <w:p w14:paraId="4FF96BD0">
            <w:pPr>
              <w:pStyle w:val="27"/>
              <w:spacing w:line="296" w:lineRule="auto"/>
            </w:pPr>
          </w:p>
          <w:p w14:paraId="4AD184F9">
            <w:pPr>
              <w:pStyle w:val="27"/>
              <w:spacing w:line="297" w:lineRule="auto"/>
            </w:pPr>
          </w:p>
          <w:p w14:paraId="44B2D31C">
            <w:pPr>
              <w:pStyle w:val="27"/>
              <w:spacing w:line="297" w:lineRule="auto"/>
            </w:pPr>
          </w:p>
          <w:p w14:paraId="13E6FE67">
            <w:pPr>
              <w:spacing w:line="219" w:lineRule="auto"/>
              <w:ind w:left="184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DASUSM平台</w:t>
            </w:r>
          </w:p>
        </w:tc>
        <w:tc>
          <w:tcPr>
            <w:tcW w:w="2874" w:type="dxa"/>
          </w:tcPr>
          <w:p w14:paraId="696A0875">
            <w:pPr>
              <w:spacing w:before="12" w:line="234" w:lineRule="auto"/>
              <w:ind w:left="118" w:right="107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DASUSM（明御 ® 运维审计与风险控制系统）集成了运维会话审计、身份权限管理、资产集中管控、工单流程管理等核心功能，还包含实时操作监控、风险策略告警、合规报表输出等模块，能够帮助企业对运维操作进行全流程安全管控与审计溯源，实现 “操作可追溯</w:t>
            </w:r>
          </w:p>
        </w:tc>
        <w:tc>
          <w:tcPr>
            <w:tcW w:w="2543" w:type="dxa"/>
          </w:tcPr>
          <w:p w14:paraId="28DCA193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晋城市数据局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2025大数据应用平台运维服务项目</w:t>
            </w:r>
          </w:p>
          <w:p w14:paraId="7AE27702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产业互联网共享服务平台运维</w:t>
            </w:r>
          </w:p>
        </w:tc>
        <w:tc>
          <w:tcPr>
            <w:tcW w:w="1986" w:type="dxa"/>
          </w:tcPr>
          <w:p w14:paraId="19AD12CB">
            <w:pPr>
              <w:pStyle w:val="27"/>
            </w:pPr>
          </w:p>
          <w:p w14:paraId="2531698C">
            <w:pPr>
              <w:spacing w:before="78" w:line="220" w:lineRule="auto"/>
              <w:ind w:left="56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外购</w:t>
            </w:r>
          </w:p>
        </w:tc>
        <w:tc>
          <w:tcPr>
            <w:tcW w:w="3196" w:type="dxa"/>
          </w:tcPr>
          <w:p w14:paraId="62D98291">
            <w:pPr>
              <w:spacing w:before="12" w:line="234" w:lineRule="auto"/>
              <w:ind w:left="118" w:right="107" w:firstLine="6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4"/>
                <w:szCs w:val="24"/>
              </w:rPr>
              <w:t>对ECS、RDS、SLB等云产品的资源负载、性能指标进行实时监控，如快速定位CPU利用率 100% 的云服务器并及时优化，保障业务系统稳定运行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t>。</w:t>
            </w:r>
            <w:r>
              <w:rPr>
                <w:rFonts w:hint="default" w:ascii="宋体" w:hAnsi="宋体" w:eastAsia="宋体" w:cs="宋体"/>
                <w:sz w:val="24"/>
                <w:szCs w:val="24"/>
              </w:rPr>
              <w:t>借助其安全模块成功拦截了针对政务服务平台的 SQL 注入</w:t>
            </w:r>
          </w:p>
        </w:tc>
        <w:tc>
          <w:tcPr>
            <w:tcW w:w="1343" w:type="dxa"/>
          </w:tcPr>
          <w:p w14:paraId="13FF7C8B">
            <w:pPr>
              <w:pStyle w:val="27"/>
              <w:spacing w:line="261" w:lineRule="auto"/>
            </w:pPr>
          </w:p>
          <w:p w14:paraId="72734536">
            <w:pPr>
              <w:pStyle w:val="27"/>
              <w:spacing w:line="261" w:lineRule="auto"/>
            </w:pPr>
          </w:p>
          <w:p w14:paraId="082E7514">
            <w:pPr>
              <w:pStyle w:val="27"/>
              <w:spacing w:line="262" w:lineRule="auto"/>
            </w:pPr>
          </w:p>
          <w:p w14:paraId="13F6EF5D">
            <w:pPr>
              <w:pStyle w:val="27"/>
              <w:spacing w:line="262" w:lineRule="auto"/>
            </w:pPr>
          </w:p>
          <w:p w14:paraId="3B679F6A">
            <w:pPr>
              <w:spacing w:before="26" w:line="239" w:lineRule="auto"/>
              <w:ind w:left="12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徐超超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$1.11.$3</w:t>
            </w:r>
          </w:p>
        </w:tc>
      </w:tr>
      <w:tr w14:paraId="2A4DEB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2" w:hRule="atLeast"/>
        </w:trPr>
        <w:tc>
          <w:tcPr>
            <w:tcW w:w="1275" w:type="dxa"/>
            <w:vMerge w:val="continue"/>
          </w:tcPr>
          <w:p w14:paraId="0457A654">
            <w:pPr>
              <w:spacing w:before="78" w:line="243" w:lineRule="auto"/>
              <w:ind w:left="404" w:right="154" w:hanging="241"/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</w:pPr>
          </w:p>
        </w:tc>
        <w:tc>
          <w:tcPr>
            <w:tcW w:w="1307" w:type="dxa"/>
          </w:tcPr>
          <w:p w14:paraId="68FCFC2B">
            <w:pPr>
              <w:spacing w:line="219" w:lineRule="auto"/>
              <w:ind w:left="184"/>
              <w:rPr>
                <w:rFonts w:hint="eastAsia"/>
                <w:lang w:val="en-US" w:eastAsia="zh-CN"/>
              </w:rPr>
            </w:pPr>
          </w:p>
          <w:p w14:paraId="3C1E8D32">
            <w:pPr>
              <w:spacing w:line="219" w:lineRule="auto"/>
              <w:ind w:left="184"/>
              <w:rPr>
                <w:rFonts w:hint="eastAsia"/>
                <w:lang w:val="en-US" w:eastAsia="zh-CN"/>
              </w:rPr>
            </w:pPr>
          </w:p>
          <w:p w14:paraId="7F76BB56">
            <w:pPr>
              <w:spacing w:line="219" w:lineRule="auto"/>
              <w:ind w:left="184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禅道项目管理工具</w:t>
            </w:r>
          </w:p>
        </w:tc>
        <w:tc>
          <w:tcPr>
            <w:tcW w:w="2874" w:type="dxa"/>
          </w:tcPr>
          <w:p w14:paraId="2913885E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集成了需求管理、任务分解、缺陷跟踪、测试用例管理 等核心功能，还包含 项目计划与进度看板、燃尽图、团队协作 等模块，能够帮助团队对项目全生命周期进行结构化、可视化的管控，实现 “过程全透明、进度可跟踪、责任可追溯” 的高效协同。</w:t>
            </w:r>
          </w:p>
        </w:tc>
        <w:tc>
          <w:tcPr>
            <w:tcW w:w="2543" w:type="dxa"/>
          </w:tcPr>
          <w:p w14:paraId="0ED30AB2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晋城市数据局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2025大数据应用平台运维服务项目</w:t>
            </w:r>
          </w:p>
          <w:p w14:paraId="06E21125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产业互联网共享服务平台运维</w:t>
            </w:r>
          </w:p>
        </w:tc>
        <w:tc>
          <w:tcPr>
            <w:tcW w:w="1986" w:type="dxa"/>
          </w:tcPr>
          <w:p w14:paraId="421EBAEB">
            <w:pPr>
              <w:spacing w:before="78" w:line="220" w:lineRule="auto"/>
              <w:ind w:left="560"/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</w:pPr>
          </w:p>
          <w:p w14:paraId="0E3A5956">
            <w:pPr>
              <w:spacing w:before="78" w:line="220" w:lineRule="auto"/>
              <w:ind w:left="560"/>
              <w:rPr>
                <w:rFonts w:hint="default" w:ascii="宋体" w:hAnsi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开源</w:t>
            </w:r>
          </w:p>
        </w:tc>
        <w:tc>
          <w:tcPr>
            <w:tcW w:w="3196" w:type="dxa"/>
          </w:tcPr>
          <w:p w14:paraId="3EE99516">
            <w:pPr>
              <w:spacing w:before="12" w:line="234" w:lineRule="auto"/>
              <w:ind w:left="118" w:right="107" w:firstLine="6"/>
              <w:rPr>
                <w:rFonts w:hint="default" w:ascii="宋体" w:hAnsi="宋体" w:eastAsia="宋体" w:cs="宋体"/>
                <w:sz w:val="24"/>
                <w:szCs w:val="24"/>
              </w:rPr>
            </w:pPr>
            <w:r>
              <w:rPr>
                <w:rFonts w:hint="default" w:ascii="宋体" w:hAnsi="宋体" w:eastAsia="宋体" w:cs="宋体"/>
                <w:sz w:val="24"/>
                <w:szCs w:val="24"/>
              </w:rPr>
              <w:t>项目计划、任务进度、缺陷修复进行全过程跟踪管理。如快速定位并协同处理因需求变更导致的开发任务阻塞，确保关键里程碑的按时达成，保障项目交付物有序推进。借助其测试与缺陷管理模块，高效跟进并闭环了在上线前测试阶段发现的多个核心功能问题，保障了系统交付质量</w:t>
            </w:r>
          </w:p>
        </w:tc>
        <w:tc>
          <w:tcPr>
            <w:tcW w:w="1343" w:type="dxa"/>
          </w:tcPr>
          <w:p w14:paraId="0C2FD8C3">
            <w:pPr>
              <w:spacing w:before="26" w:line="239" w:lineRule="auto"/>
              <w:ind w:left="120"/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徐超超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$1.11.$3</w:t>
            </w:r>
          </w:p>
        </w:tc>
      </w:tr>
      <w:tr w14:paraId="77867B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 w:hRule="atLeast"/>
        </w:trPr>
        <w:tc>
          <w:tcPr>
            <w:tcW w:w="1275" w:type="dxa"/>
          </w:tcPr>
          <w:p w14:paraId="0C17CD95">
            <w:pPr>
              <w:pStyle w:val="27"/>
            </w:pPr>
          </w:p>
          <w:p w14:paraId="54F37602">
            <w:pPr>
              <w:pStyle w:val="27"/>
            </w:pPr>
          </w:p>
          <w:p w14:paraId="5494057B">
            <w:pPr>
              <w:spacing w:before="78" w:line="220" w:lineRule="auto"/>
              <w:ind w:left="16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1307" w:type="dxa"/>
          </w:tcPr>
          <w:p w14:paraId="3FE2A37D">
            <w:pPr>
              <w:pStyle w:val="27"/>
              <w:spacing w:line="262" w:lineRule="auto"/>
            </w:pPr>
          </w:p>
          <w:p w14:paraId="79FA5BF9">
            <w:pPr>
              <w:pStyle w:val="27"/>
              <w:spacing w:line="262" w:lineRule="auto"/>
            </w:pPr>
          </w:p>
          <w:p w14:paraId="1B2A4F00">
            <w:pPr>
              <w:pStyle w:val="27"/>
              <w:spacing w:line="262" w:lineRule="auto"/>
            </w:pPr>
          </w:p>
          <w:p w14:paraId="6CBFCBBD">
            <w:pPr>
              <w:pStyle w:val="27"/>
              <w:spacing w:line="262" w:lineRule="auto"/>
            </w:pPr>
          </w:p>
          <w:p w14:paraId="05D9BC62">
            <w:pPr>
              <w:spacing w:before="78" w:line="242" w:lineRule="auto"/>
              <w:ind w:left="179" w:right="119" w:hanging="73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阿里云飞天企业版</w:t>
            </w:r>
          </w:p>
        </w:tc>
        <w:tc>
          <w:tcPr>
            <w:tcW w:w="2874" w:type="dxa"/>
          </w:tcPr>
          <w:p w14:paraId="53E70D43">
            <w:pPr>
              <w:spacing w:before="12" w:line="234" w:lineRule="auto"/>
              <w:ind w:left="118" w:right="107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集成了云服务器（ECS）、云数据库（RDS）、负载均衡（SLB）、对象存储（OSS）等多种云产品的管理功能，还包含数据管理服务（DMS）、运维审计、监控等模块，能够帮助企业对云计算资源进行集中化、精细化的运营与管理，适用于政务、企业数字化转型等场景</w:t>
            </w:r>
          </w:p>
        </w:tc>
        <w:tc>
          <w:tcPr>
            <w:tcW w:w="2543" w:type="dxa"/>
          </w:tcPr>
          <w:p w14:paraId="2BC7EA29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晋城市数据局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2025大数据应用平台运维服务项目</w:t>
            </w:r>
          </w:p>
          <w:p w14:paraId="3A2ED982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产业互联网共享服务平台运维</w:t>
            </w:r>
          </w:p>
          <w:p w14:paraId="457171D7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晋城市产业互联网数字化共享服务平台</w:t>
            </w:r>
          </w:p>
        </w:tc>
        <w:tc>
          <w:tcPr>
            <w:tcW w:w="1986" w:type="dxa"/>
          </w:tcPr>
          <w:p w14:paraId="18938ACA">
            <w:pPr>
              <w:pStyle w:val="27"/>
            </w:pPr>
          </w:p>
          <w:p w14:paraId="4A7DB490">
            <w:pPr>
              <w:spacing w:before="78" w:line="221" w:lineRule="auto"/>
              <w:ind w:left="521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pacing w:val="-3"/>
                <w:sz w:val="24"/>
                <w:szCs w:val="24"/>
                <w:lang w:val="en-US" w:eastAsia="zh-CN"/>
              </w:rPr>
              <w:t>外购</w:t>
            </w:r>
          </w:p>
        </w:tc>
        <w:tc>
          <w:tcPr>
            <w:tcW w:w="3196" w:type="dxa"/>
          </w:tcPr>
          <w:p w14:paraId="1EB7B4FA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 w:val="24"/>
                <w:szCs w:val="24"/>
              </w:rPr>
              <w:t>通过身份认证与权限管控，将运维人员对核心数据库的权限精确到 “仅可执行查询语句、不可删改”；对所有运维会话进行录像与指令审计，在一次误操作事件中，通过回放某 DBA 的操作会话，快速定位到 “误删表” 的具体指令与时间，结合备份机制实现数据恢复</w:t>
            </w:r>
          </w:p>
        </w:tc>
        <w:tc>
          <w:tcPr>
            <w:tcW w:w="1343" w:type="dxa"/>
          </w:tcPr>
          <w:p w14:paraId="3C79853E">
            <w:pPr>
              <w:pStyle w:val="27"/>
              <w:spacing w:line="261" w:lineRule="auto"/>
            </w:pPr>
          </w:p>
          <w:p w14:paraId="569938F5">
            <w:pPr>
              <w:pStyle w:val="27"/>
              <w:spacing w:line="262" w:lineRule="auto"/>
            </w:pPr>
          </w:p>
          <w:p w14:paraId="748D1618">
            <w:pPr>
              <w:pStyle w:val="27"/>
              <w:spacing w:line="262" w:lineRule="auto"/>
            </w:pPr>
          </w:p>
          <w:p w14:paraId="27D4A7D0">
            <w:pPr>
              <w:pStyle w:val="27"/>
              <w:spacing w:line="262" w:lineRule="auto"/>
            </w:pPr>
          </w:p>
          <w:p w14:paraId="3A6916EB">
            <w:pPr>
              <w:spacing w:before="26" w:line="239" w:lineRule="auto"/>
              <w:ind w:left="12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徐超超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$1.11.$3</w:t>
            </w:r>
          </w:p>
        </w:tc>
      </w:tr>
    </w:tbl>
    <w:p w14:paraId="4BA75431">
      <w:pPr>
        <w:pStyle w:val="29"/>
        <w:ind w:left="0" w:leftChars="0" w:firstLine="0" w:firstLineChars="0"/>
        <w:rPr>
          <w:rFonts w:hint="default"/>
          <w:lang w:val="en-US" w:eastAsia="zh-CN"/>
        </w:rPr>
      </w:pPr>
    </w:p>
    <w:sectPr>
      <w:pgSz w:w="16838" w:h="11906" w:orient="landscape"/>
      <w:pgMar w:top="1800" w:right="1417" w:bottom="1800" w:left="144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59BC1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9F01EC0"/>
    <w:rsid w:val="539B25ED"/>
    <w:rsid w:val="60152EE6"/>
    <w:rsid w:val="60CD6D80"/>
    <w:rsid w:val="6DAB6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1052</Words>
  <Characters>1173</Characters>
  <Lines>0</Lines>
  <Paragraphs>0</Paragraphs>
  <TotalTime>0</TotalTime>
  <ScaleCrop>false</ScaleCrop>
  <LinksUpToDate>false</LinksUpToDate>
  <CharactersWithSpaces>1201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2026-01-20T07:33:22Z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