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D5ADD">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194"/>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5ADD27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6476"/>
      <w:r>
        <w:rPr>
          <w:rFonts w:hint="eastAsia"/>
          <w:lang w:val="en-US" w:eastAsia="zh-CN"/>
        </w:rPr>
        <w:t>服务知识应用情况说明</w:t>
      </w:r>
      <w:bookmarkEnd w:id="1"/>
    </w:p>
    <w:p w14:paraId="3766B4D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A620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05DE6E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49F8E76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42CFD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60B1D5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18B3C5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370E2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A971CD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878FDF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38EDE64F">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FD83C05">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4270FC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0EC599B">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A77087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_Toc6194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_Toc6194 \h </w:instrText>
          </w:r>
          <w:r>
            <w:fldChar w:fldCharType="separate"/>
          </w:r>
          <w:r>
            <w:t>1</w:t>
          </w:r>
          <w:r>
            <w:fldChar w:fldCharType="end"/>
          </w:r>
          <w:r>
            <w:rPr>
              <w:rFonts w:hint="eastAsia" w:ascii="宋体" w:hAnsi="宋体" w:eastAsia="宋体" w:cs="宋体"/>
              <w:szCs w:val="24"/>
            </w:rPr>
            <w:fldChar w:fldCharType="end"/>
          </w:r>
        </w:p>
        <w:p w14:paraId="48BDF62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_Toc6476 </w:instrText>
          </w:r>
          <w:r>
            <w:rPr>
              <w:rFonts w:hint="eastAsia" w:ascii="宋体" w:hAnsi="宋体" w:eastAsia="宋体" w:cs="宋体"/>
              <w:szCs w:val="24"/>
            </w:rPr>
            <w:fldChar w:fldCharType="separate"/>
          </w:r>
          <w:r>
            <w:rPr>
              <w:rFonts w:hint="eastAsia"/>
              <w:lang w:val="en-US" w:eastAsia="zh-CN"/>
            </w:rPr>
            <w:t>服务知识应用情况说明</w:t>
          </w:r>
          <w:r>
            <w:tab/>
          </w:r>
          <w:r>
            <w:fldChar w:fldCharType="begin"/>
          </w:r>
          <w:r>
            <w:instrText xml:space="preserve"> PAGEREF _Toc6476 \h </w:instrText>
          </w:r>
          <w:r>
            <w:fldChar w:fldCharType="separate"/>
          </w:r>
          <w:r>
            <w:t>1</w:t>
          </w:r>
          <w:r>
            <w:fldChar w:fldCharType="end"/>
          </w:r>
          <w:r>
            <w:rPr>
              <w:rFonts w:hint="eastAsia" w:ascii="宋体" w:hAnsi="宋体" w:eastAsia="宋体" w:cs="宋体"/>
              <w:szCs w:val="24"/>
            </w:rPr>
            <w:fldChar w:fldCharType="end"/>
          </w:r>
        </w:p>
        <w:p w14:paraId="76E9F4C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_Toc3553 </w:instrText>
          </w:r>
          <w:r>
            <w:rPr>
              <w:rFonts w:hint="eastAsia" w:ascii="宋体" w:hAnsi="宋体" w:eastAsia="宋体" w:cs="宋体"/>
              <w:szCs w:val="24"/>
            </w:rPr>
            <w:fldChar w:fldCharType="separate"/>
          </w:r>
          <w:r>
            <w:rPr>
              <w:rFonts w:hint="default"/>
              <w:lang w:val="en-US" w:eastAsia="zh-CN"/>
            </w:rPr>
            <w:t>1. 知识管理体系建立与职责落实情况</w:t>
          </w:r>
          <w:r>
            <w:tab/>
          </w:r>
          <w:r>
            <w:fldChar w:fldCharType="begin"/>
          </w:r>
          <w:r>
            <w:instrText xml:space="preserve"> PAGEREF _Toc3553 \h </w:instrText>
          </w:r>
          <w:r>
            <w:fldChar w:fldCharType="separate"/>
          </w:r>
          <w:r>
            <w:t>4</w:t>
          </w:r>
          <w:r>
            <w:fldChar w:fldCharType="end"/>
          </w:r>
          <w:r>
            <w:rPr>
              <w:rFonts w:hint="eastAsia" w:ascii="宋体" w:hAnsi="宋体" w:eastAsia="宋体" w:cs="宋体"/>
              <w:szCs w:val="24"/>
            </w:rPr>
            <w:fldChar w:fldCharType="end"/>
          </w:r>
        </w:p>
        <w:p w14:paraId="2FF2CE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_Toc12587 </w:instrText>
          </w:r>
          <w:r>
            <w:rPr>
              <w:rFonts w:hint="eastAsia" w:ascii="宋体" w:hAnsi="宋体" w:eastAsia="宋体" w:cs="宋体"/>
              <w:szCs w:val="24"/>
            </w:rPr>
            <w:fldChar w:fldCharType="separate"/>
          </w:r>
          <w:r>
            <w:rPr>
              <w:rFonts w:hint="default"/>
              <w:lang w:val="en-US" w:eastAsia="zh-CN"/>
            </w:rPr>
            <w:t>1.1. 制度与规范落地</w:t>
          </w:r>
          <w:r>
            <w:tab/>
          </w:r>
          <w:r>
            <w:fldChar w:fldCharType="begin"/>
          </w:r>
          <w:r>
            <w:instrText xml:space="preserve"> PAGEREF _Toc12587 \h </w:instrText>
          </w:r>
          <w:r>
            <w:fldChar w:fldCharType="separate"/>
          </w:r>
          <w:r>
            <w:t>4</w:t>
          </w:r>
          <w:r>
            <w:fldChar w:fldCharType="end"/>
          </w:r>
          <w:r>
            <w:rPr>
              <w:rFonts w:hint="eastAsia" w:ascii="宋体" w:hAnsi="宋体" w:eastAsia="宋体" w:cs="宋体"/>
              <w:szCs w:val="24"/>
            </w:rPr>
            <w:fldChar w:fldCharType="end"/>
          </w:r>
        </w:p>
        <w:p w14:paraId="3561A1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_Toc18978 </w:instrText>
          </w:r>
          <w:r>
            <w:rPr>
              <w:rFonts w:hint="eastAsia" w:ascii="宋体" w:hAnsi="宋体" w:eastAsia="宋体" w:cs="宋体"/>
              <w:szCs w:val="24"/>
            </w:rPr>
            <w:fldChar w:fldCharType="separate"/>
          </w:r>
          <w:r>
            <w:rPr>
              <w:rFonts w:hint="default"/>
              <w:lang w:val="en-US" w:eastAsia="zh-CN"/>
            </w:rPr>
            <w:t>1.2. 管理职责明确</w:t>
          </w:r>
          <w:r>
            <w:tab/>
          </w:r>
          <w:r>
            <w:fldChar w:fldCharType="begin"/>
          </w:r>
          <w:r>
            <w:instrText xml:space="preserve"> PAGEREF _Toc18978 \h </w:instrText>
          </w:r>
          <w:r>
            <w:fldChar w:fldCharType="separate"/>
          </w:r>
          <w:r>
            <w:t>4</w:t>
          </w:r>
          <w:r>
            <w:fldChar w:fldCharType="end"/>
          </w:r>
          <w:r>
            <w:rPr>
              <w:rFonts w:hint="eastAsia" w:ascii="宋体" w:hAnsi="宋体" w:eastAsia="宋体" w:cs="宋体"/>
              <w:szCs w:val="24"/>
            </w:rPr>
            <w:fldChar w:fldCharType="end"/>
          </w:r>
        </w:p>
        <w:p w14:paraId="3FFE6EA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_Toc9451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服务知识</w:t>
          </w:r>
          <w:r>
            <w:rPr>
              <w:rFonts w:hint="default"/>
              <w:lang w:val="en-US" w:eastAsia="zh-CN"/>
            </w:rPr>
            <w:t>建设与内容运营情况</w:t>
          </w:r>
          <w:r>
            <w:tab/>
          </w:r>
          <w:r>
            <w:fldChar w:fldCharType="begin"/>
          </w:r>
          <w:r>
            <w:instrText xml:space="preserve"> PAGEREF _Toc9451 \h </w:instrText>
          </w:r>
          <w:r>
            <w:fldChar w:fldCharType="separate"/>
          </w:r>
          <w:r>
            <w:t>4</w:t>
          </w:r>
          <w:r>
            <w:fldChar w:fldCharType="end"/>
          </w:r>
          <w:r>
            <w:rPr>
              <w:rFonts w:hint="eastAsia" w:ascii="宋体" w:hAnsi="宋体" w:eastAsia="宋体" w:cs="宋体"/>
              <w:szCs w:val="24"/>
            </w:rPr>
            <w:fldChar w:fldCharType="end"/>
          </w:r>
        </w:p>
        <w:p w14:paraId="135639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_Toc22771 </w:instrText>
          </w:r>
          <w:r>
            <w:rPr>
              <w:rFonts w:hint="eastAsia" w:ascii="宋体" w:hAnsi="宋体" w:eastAsia="宋体" w:cs="宋体"/>
              <w:szCs w:val="24"/>
            </w:rPr>
            <w:fldChar w:fldCharType="separate"/>
          </w:r>
          <w:r>
            <w:rPr>
              <w:rFonts w:hint="default"/>
              <w:lang w:val="en-US" w:eastAsia="zh-CN"/>
            </w:rPr>
            <w:t>2.1. 系统平台搭建</w:t>
          </w:r>
          <w:r>
            <w:tab/>
          </w:r>
          <w:r>
            <w:fldChar w:fldCharType="begin"/>
          </w:r>
          <w:r>
            <w:instrText xml:space="preserve"> PAGEREF _Toc22771 \h </w:instrText>
          </w:r>
          <w:r>
            <w:fldChar w:fldCharType="separate"/>
          </w:r>
          <w:r>
            <w:t>4</w:t>
          </w:r>
          <w:r>
            <w:fldChar w:fldCharType="end"/>
          </w:r>
          <w:r>
            <w:rPr>
              <w:rFonts w:hint="eastAsia" w:ascii="宋体" w:hAnsi="宋体" w:eastAsia="宋体" w:cs="宋体"/>
              <w:szCs w:val="24"/>
            </w:rPr>
            <w:fldChar w:fldCharType="end"/>
          </w:r>
        </w:p>
        <w:p w14:paraId="15EBFF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_Toc3936 </w:instrText>
          </w:r>
          <w:r>
            <w:rPr>
              <w:rFonts w:hint="eastAsia" w:ascii="宋体" w:hAnsi="宋体" w:eastAsia="宋体" w:cs="宋体"/>
              <w:szCs w:val="24"/>
            </w:rPr>
            <w:fldChar w:fldCharType="separate"/>
          </w:r>
          <w:r>
            <w:rPr>
              <w:rFonts w:hint="default"/>
              <w:lang w:val="en-US" w:eastAsia="zh-CN"/>
            </w:rPr>
            <w:t>2.2. 知识内容积累</w:t>
          </w:r>
          <w:r>
            <w:tab/>
          </w:r>
          <w:r>
            <w:fldChar w:fldCharType="begin"/>
          </w:r>
          <w:r>
            <w:instrText xml:space="preserve"> PAGEREF _Toc3936 \h </w:instrText>
          </w:r>
          <w:r>
            <w:fldChar w:fldCharType="separate"/>
          </w:r>
          <w:r>
            <w:t>4</w:t>
          </w:r>
          <w:r>
            <w:fldChar w:fldCharType="end"/>
          </w:r>
          <w:r>
            <w:rPr>
              <w:rFonts w:hint="eastAsia" w:ascii="宋体" w:hAnsi="宋体" w:eastAsia="宋体" w:cs="宋体"/>
              <w:szCs w:val="24"/>
            </w:rPr>
            <w:fldChar w:fldCharType="end"/>
          </w:r>
        </w:p>
        <w:p w14:paraId="56C3096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_Toc21886 </w:instrText>
          </w:r>
          <w:r>
            <w:rPr>
              <w:rFonts w:hint="eastAsia" w:ascii="宋体" w:hAnsi="宋体" w:eastAsia="宋体" w:cs="宋体"/>
              <w:szCs w:val="24"/>
            </w:rPr>
            <w:fldChar w:fldCharType="separate"/>
          </w:r>
          <w:r>
            <w:rPr>
              <w:rFonts w:hint="default"/>
              <w:lang w:val="en-US" w:eastAsia="zh-CN"/>
            </w:rPr>
            <w:t>2.3. 流程执行情况</w:t>
          </w:r>
          <w:r>
            <w:tab/>
          </w:r>
          <w:r>
            <w:fldChar w:fldCharType="begin"/>
          </w:r>
          <w:r>
            <w:instrText xml:space="preserve"> PAGEREF _Toc21886 \h </w:instrText>
          </w:r>
          <w:r>
            <w:fldChar w:fldCharType="separate"/>
          </w:r>
          <w:r>
            <w:t>5</w:t>
          </w:r>
          <w:r>
            <w:fldChar w:fldCharType="end"/>
          </w:r>
          <w:r>
            <w:rPr>
              <w:rFonts w:hint="eastAsia" w:ascii="宋体" w:hAnsi="宋体" w:eastAsia="宋体" w:cs="宋体"/>
              <w:szCs w:val="24"/>
            </w:rPr>
            <w:fldChar w:fldCharType="end"/>
          </w:r>
        </w:p>
        <w:p w14:paraId="5F32C6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_Toc25635 </w:instrText>
          </w:r>
          <w:r>
            <w:rPr>
              <w:rFonts w:hint="eastAsia" w:ascii="宋体" w:hAnsi="宋体" w:eastAsia="宋体" w:cs="宋体"/>
              <w:szCs w:val="24"/>
            </w:rPr>
            <w:fldChar w:fldCharType="separate"/>
          </w:r>
          <w:r>
            <w:rPr>
              <w:rFonts w:hint="default"/>
              <w:lang w:val="en-US" w:eastAsia="zh-CN"/>
            </w:rPr>
            <w:t>3. 核心考核指标达成情况</w:t>
          </w:r>
          <w:r>
            <w:tab/>
          </w:r>
          <w:r>
            <w:fldChar w:fldCharType="begin"/>
          </w:r>
          <w:r>
            <w:instrText xml:space="preserve"> PAGEREF _Toc25635 \h </w:instrText>
          </w:r>
          <w:r>
            <w:fldChar w:fldCharType="separate"/>
          </w:r>
          <w:r>
            <w:t>6</w:t>
          </w:r>
          <w:r>
            <w:fldChar w:fldCharType="end"/>
          </w:r>
          <w:r>
            <w:rPr>
              <w:rFonts w:hint="eastAsia" w:ascii="宋体" w:hAnsi="宋体" w:eastAsia="宋体" w:cs="宋体"/>
              <w:szCs w:val="24"/>
            </w:rPr>
            <w:fldChar w:fldCharType="end"/>
          </w:r>
        </w:p>
        <w:p w14:paraId="2988EB2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_Toc32166 </w:instrText>
          </w:r>
          <w:r>
            <w:rPr>
              <w:rFonts w:hint="eastAsia" w:ascii="宋体" w:hAnsi="宋体" w:eastAsia="宋体" w:cs="宋体"/>
              <w:szCs w:val="24"/>
            </w:rPr>
            <w:fldChar w:fldCharType="separate"/>
          </w:r>
          <w:r>
            <w:rPr>
              <w:rFonts w:hint="default"/>
              <w:lang w:val="en-US" w:eastAsia="zh-CN"/>
            </w:rPr>
            <w:t>4. 取得的成效与价值</w:t>
          </w:r>
          <w:r>
            <w:tab/>
          </w:r>
          <w:r>
            <w:fldChar w:fldCharType="begin"/>
          </w:r>
          <w:r>
            <w:instrText xml:space="preserve"> PAGEREF _Toc32166 \h </w:instrText>
          </w:r>
          <w:r>
            <w:fldChar w:fldCharType="separate"/>
          </w:r>
          <w:r>
            <w:t>6</w:t>
          </w:r>
          <w:r>
            <w:fldChar w:fldCharType="end"/>
          </w:r>
          <w:r>
            <w:rPr>
              <w:rFonts w:hint="eastAsia" w:ascii="宋体" w:hAnsi="宋体" w:eastAsia="宋体" w:cs="宋体"/>
              <w:szCs w:val="24"/>
            </w:rPr>
            <w:fldChar w:fldCharType="end"/>
          </w:r>
        </w:p>
        <w:p w14:paraId="61EEAAA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_Toc26487 </w:instrText>
          </w:r>
          <w:r>
            <w:rPr>
              <w:rFonts w:hint="eastAsia" w:ascii="宋体" w:hAnsi="宋体" w:eastAsia="宋体" w:cs="宋体"/>
              <w:szCs w:val="24"/>
            </w:rPr>
            <w:fldChar w:fldCharType="separate"/>
          </w:r>
          <w:r>
            <w:rPr>
              <w:rFonts w:hint="default"/>
              <w:lang w:val="en-US" w:eastAsia="zh-CN"/>
            </w:rPr>
            <w:t>5. 持续改进方向</w:t>
          </w:r>
          <w:r>
            <w:tab/>
          </w:r>
          <w:r>
            <w:fldChar w:fldCharType="begin"/>
          </w:r>
          <w:r>
            <w:instrText xml:space="preserve"> PAGEREF _Toc26487 \h </w:instrText>
          </w:r>
          <w:r>
            <w:fldChar w:fldCharType="separate"/>
          </w:r>
          <w:r>
            <w:t>7</w:t>
          </w:r>
          <w:r>
            <w:fldChar w:fldCharType="end"/>
          </w:r>
          <w:r>
            <w:rPr>
              <w:rFonts w:hint="eastAsia" w:ascii="宋体" w:hAnsi="宋体" w:eastAsia="宋体" w:cs="宋体"/>
              <w:szCs w:val="24"/>
            </w:rPr>
            <w:fldChar w:fldCharType="end"/>
          </w:r>
        </w:p>
        <w:p w14:paraId="4D3275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_Toc13029 </w:instrText>
          </w:r>
          <w:r>
            <w:rPr>
              <w:rFonts w:hint="eastAsia" w:ascii="宋体" w:hAnsi="宋体" w:eastAsia="宋体" w:cs="宋体"/>
              <w:szCs w:val="24"/>
            </w:rPr>
            <w:fldChar w:fldCharType="separate"/>
          </w:r>
          <w:r>
            <w:rPr>
              <w:rFonts w:hint="default"/>
              <w:lang w:val="en-US" w:eastAsia="zh-CN"/>
            </w:rPr>
            <w:t>6. 总结</w:t>
          </w:r>
          <w:r>
            <w:tab/>
          </w:r>
          <w:r>
            <w:fldChar w:fldCharType="begin"/>
          </w:r>
          <w:r>
            <w:instrText xml:space="preserve"> PAGEREF _Toc13029 \h </w:instrText>
          </w:r>
          <w:r>
            <w:fldChar w:fldCharType="separate"/>
          </w:r>
          <w:r>
            <w:t>7</w:t>
          </w:r>
          <w:r>
            <w:fldChar w:fldCharType="end"/>
          </w:r>
          <w:r>
            <w:rPr>
              <w:rFonts w:hint="eastAsia" w:ascii="宋体" w:hAnsi="宋体" w:eastAsia="宋体" w:cs="宋体"/>
              <w:szCs w:val="24"/>
            </w:rPr>
            <w:fldChar w:fldCharType="end"/>
          </w:r>
        </w:p>
        <w:p w14:paraId="14228EAD">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C16B2F5">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12CED73">
      <w:pPr>
        <w:pStyle w:val="29"/>
        <w:rPr>
          <w:rFonts w:hint="default"/>
          <w:lang w:val="en-US" w:eastAsia="zh-CN"/>
        </w:rPr>
      </w:pPr>
      <w:r>
        <w:rPr>
          <w:rFonts w:hint="default"/>
          <w:lang w:val="en-US" w:eastAsia="zh-CN"/>
        </w:rPr>
        <w:t>为全面落实《服务知识管理制度》，推动公司知识资产的系统性积累、高效共享与有效复用，自制度发布以来，知识管理工作已全面展开并逐步深化。现将截至2025年11月的应用情况</w:t>
      </w:r>
      <w:r>
        <w:rPr>
          <w:rFonts w:hint="eastAsia"/>
          <w:lang w:val="en-US" w:eastAsia="zh-CN"/>
        </w:rPr>
        <w:t>进行汇报。</w:t>
      </w:r>
    </w:p>
    <w:p w14:paraId="0FA0B1D7">
      <w:pPr>
        <w:pStyle w:val="28"/>
        <w:bidi w:val="0"/>
        <w:rPr>
          <w:rFonts w:hint="default"/>
          <w:lang w:val="en-US" w:eastAsia="zh-CN"/>
        </w:rPr>
      </w:pPr>
      <w:bookmarkStart w:id="2" w:name="_Toc3553"/>
      <w:r>
        <w:rPr>
          <w:rFonts w:hint="default"/>
          <w:lang w:val="en-US" w:eastAsia="zh-CN"/>
        </w:rPr>
        <w:t>知识管理体系建立与职责落实情况</w:t>
      </w:r>
      <w:bookmarkEnd w:id="2"/>
    </w:p>
    <w:p w14:paraId="6F894589">
      <w:pPr>
        <w:pStyle w:val="30"/>
        <w:bidi w:val="0"/>
        <w:rPr>
          <w:rFonts w:hint="default"/>
          <w:lang w:val="en-US" w:eastAsia="zh-CN"/>
        </w:rPr>
      </w:pPr>
      <w:bookmarkStart w:id="3" w:name="_Toc12587"/>
      <w:r>
        <w:rPr>
          <w:rFonts w:hint="default"/>
          <w:lang w:val="en-US" w:eastAsia="zh-CN"/>
        </w:rPr>
        <w:t>制度与规范落地</w:t>
      </w:r>
      <w:bookmarkEnd w:id="3"/>
    </w:p>
    <w:p w14:paraId="52FE7DCD">
      <w:pPr>
        <w:pStyle w:val="29"/>
        <w:rPr>
          <w:rFonts w:hint="default"/>
          <w:lang w:val="en-US" w:eastAsia="zh-CN"/>
        </w:rPr>
      </w:pPr>
      <w:r>
        <w:rPr>
          <w:rFonts w:hint="default"/>
          <w:lang w:val="en-US" w:eastAsia="zh-CN"/>
        </w:rPr>
        <w:t>已依据制度要求，明确了知识从“识别、提交、审核、发布、更新到归档”的全生命周期管理流程，并制定了配套的《知识提交表》模板及审核操作细则。</w:t>
      </w:r>
    </w:p>
    <w:p w14:paraId="4536B31E">
      <w:pPr>
        <w:pStyle w:val="30"/>
        <w:bidi w:val="0"/>
        <w:rPr>
          <w:rFonts w:hint="default"/>
          <w:lang w:val="en-US" w:eastAsia="zh-CN"/>
        </w:rPr>
      </w:pPr>
      <w:bookmarkStart w:id="4" w:name="_Toc18978"/>
      <w:r>
        <w:rPr>
          <w:rFonts w:hint="default"/>
          <w:lang w:val="en-US" w:eastAsia="zh-CN"/>
        </w:rPr>
        <w:t>管理职责明确</w:t>
      </w:r>
      <w:bookmarkEnd w:id="4"/>
    </w:p>
    <w:p w14:paraId="6FF63C3D">
      <w:pPr>
        <w:pStyle w:val="29"/>
        <w:rPr>
          <w:rFonts w:hint="default"/>
          <w:lang w:val="en-US" w:eastAsia="zh-CN"/>
        </w:rPr>
      </w:pPr>
      <w:r>
        <w:rPr>
          <w:rFonts w:hint="default"/>
          <w:lang w:val="en-US" w:eastAsia="zh-CN"/>
        </w:rPr>
        <w:t>服务知识专员岗位职责已落实到位，负责</w:t>
      </w:r>
      <w:r>
        <w:rPr>
          <w:rFonts w:hint="eastAsia"/>
          <w:lang w:val="en-US" w:eastAsia="zh-CN"/>
        </w:rPr>
        <w:t>服务知识</w:t>
      </w:r>
      <w:r>
        <w:rPr>
          <w:rFonts w:hint="default"/>
          <w:lang w:val="en-US" w:eastAsia="zh-CN"/>
        </w:rPr>
        <w:t>的日常维护、内容审核、权限管理及定期备份工作。</w:t>
      </w:r>
    </w:p>
    <w:p w14:paraId="0EE59D5E">
      <w:pPr>
        <w:pStyle w:val="29"/>
        <w:rPr>
          <w:rFonts w:hint="default"/>
          <w:lang w:val="en-US" w:eastAsia="zh-CN"/>
        </w:rPr>
      </w:pPr>
      <w:r>
        <w:rPr>
          <w:rFonts w:hint="default"/>
          <w:lang w:val="en-US" w:eastAsia="zh-CN"/>
        </w:rPr>
        <w:t>各部门负责人承担本部门知识提交的初审责任，推动经验转化。</w:t>
      </w:r>
    </w:p>
    <w:p w14:paraId="15419E2D">
      <w:pPr>
        <w:pStyle w:val="29"/>
        <w:rPr>
          <w:rFonts w:hint="default"/>
          <w:lang w:val="en-US" w:eastAsia="zh-CN"/>
        </w:rPr>
      </w:pPr>
      <w:r>
        <w:rPr>
          <w:rFonts w:hint="default"/>
          <w:lang w:val="en-US" w:eastAsia="zh-CN"/>
        </w:rPr>
        <w:t>通过宣贯与培训，明确了全体运维人员作为“知识提交人”的角色与义务，倡导“人人贡献、人人分享”的文化。</w:t>
      </w:r>
    </w:p>
    <w:p w14:paraId="04A60811">
      <w:pPr>
        <w:pStyle w:val="28"/>
        <w:bidi w:val="0"/>
        <w:rPr>
          <w:rFonts w:hint="default"/>
          <w:lang w:val="en-US" w:eastAsia="zh-CN"/>
        </w:rPr>
      </w:pPr>
      <w:bookmarkStart w:id="5" w:name="_Toc9451"/>
      <w:r>
        <w:rPr>
          <w:rFonts w:hint="eastAsia"/>
          <w:lang w:val="en-US" w:eastAsia="zh-CN"/>
        </w:rPr>
        <w:t>服务知识</w:t>
      </w:r>
      <w:r>
        <w:rPr>
          <w:rFonts w:hint="default"/>
          <w:lang w:val="en-US" w:eastAsia="zh-CN"/>
        </w:rPr>
        <w:t>建设与内容运营情况</w:t>
      </w:r>
      <w:bookmarkEnd w:id="5"/>
    </w:p>
    <w:p w14:paraId="42898F68">
      <w:pPr>
        <w:pStyle w:val="30"/>
        <w:bidi w:val="0"/>
        <w:rPr>
          <w:rFonts w:hint="default"/>
          <w:lang w:val="en-US" w:eastAsia="zh-CN"/>
        </w:rPr>
      </w:pPr>
      <w:bookmarkStart w:id="6" w:name="_Toc22771"/>
      <w:r>
        <w:rPr>
          <w:rFonts w:hint="default"/>
          <w:lang w:val="en-US" w:eastAsia="zh-CN"/>
        </w:rPr>
        <w:t>系统平台搭建</w:t>
      </w:r>
      <w:bookmarkEnd w:id="6"/>
    </w:p>
    <w:p w14:paraId="543F3A3D">
      <w:pPr>
        <w:pStyle w:val="29"/>
        <w:rPr>
          <w:rFonts w:hint="default"/>
          <w:lang w:val="en-US" w:eastAsia="zh-CN"/>
        </w:rPr>
      </w:pPr>
      <w:r>
        <w:rPr>
          <w:rFonts w:hint="default"/>
          <w:lang w:val="en-US" w:eastAsia="zh-CN"/>
        </w:rPr>
        <w:t>已依据制度规范，建立了体系化的知识分类与归档机制。严格按照四大类（技术知识、运维文档、流程规范、培训资料）对知识内容进行系统化梳理与结构化存储，确保了知识体系的清晰性和完整性。通过实施统一的命名规范、关键词标签与多级目录管理，有效提升了知识的可检索性与复用效率，为知识的积累、共享与应用提供了坚实基础。</w:t>
      </w:r>
    </w:p>
    <w:p w14:paraId="37A96BCE">
      <w:pPr>
        <w:pStyle w:val="30"/>
        <w:bidi w:val="0"/>
        <w:rPr>
          <w:rFonts w:hint="default"/>
          <w:lang w:val="en-US" w:eastAsia="zh-CN"/>
        </w:rPr>
      </w:pPr>
      <w:bookmarkStart w:id="7" w:name="_Toc3936"/>
      <w:r>
        <w:rPr>
          <w:rFonts w:hint="default"/>
          <w:lang w:val="en-US" w:eastAsia="zh-CN"/>
        </w:rPr>
        <w:t>知识内容积累</w:t>
      </w:r>
      <w:bookmarkEnd w:id="7"/>
    </w:p>
    <w:p w14:paraId="0B690374">
      <w:pPr>
        <w:pStyle w:val="29"/>
        <w:rPr>
          <w:rFonts w:hint="default"/>
          <w:lang w:val="en-US" w:eastAsia="zh-CN"/>
        </w:rPr>
      </w:pPr>
      <w:r>
        <w:rPr>
          <w:rFonts w:hint="default"/>
          <w:lang w:val="en-US" w:eastAsia="zh-CN"/>
        </w:rPr>
        <w:t>截至2025年11月，</w:t>
      </w:r>
      <w:r>
        <w:rPr>
          <w:rFonts w:hint="eastAsia"/>
          <w:lang w:val="en-US" w:eastAsia="zh-CN"/>
        </w:rPr>
        <w:t>服务知识</w:t>
      </w:r>
      <w:r>
        <w:rPr>
          <w:rFonts w:hint="default"/>
          <w:lang w:val="en-US" w:eastAsia="zh-CN"/>
        </w:rPr>
        <w:t>累计有效知识条目已达</w:t>
      </w:r>
      <w:r>
        <w:rPr>
          <w:rFonts w:hint="eastAsia"/>
          <w:lang w:val="en-US" w:eastAsia="zh-CN"/>
        </w:rPr>
        <w:t>45</w:t>
      </w:r>
      <w:r>
        <w:rPr>
          <w:rFonts w:hint="default"/>
          <w:lang w:val="en-US" w:eastAsia="zh-CN"/>
        </w:rPr>
        <w:t>条。其中：</w:t>
      </w:r>
    </w:p>
    <w:p w14:paraId="23E600C4">
      <w:pPr>
        <w:pStyle w:val="29"/>
        <w:rPr>
          <w:rFonts w:hint="default"/>
          <w:lang w:val="en-US" w:eastAsia="zh-CN"/>
        </w:rPr>
      </w:pPr>
      <w:r>
        <w:rPr>
          <w:rFonts w:hint="default"/>
          <w:lang w:val="en-US" w:eastAsia="zh-CN"/>
        </w:rPr>
        <w:t>技术知识类与运维文档类条目占比最高，主要包括常见故障处理方案、系统配置指南及典型案例复盘，直接支撑一线运维工作。</w:t>
      </w:r>
    </w:p>
    <w:p w14:paraId="64E71057">
      <w:pPr>
        <w:pStyle w:val="29"/>
        <w:rPr>
          <w:rFonts w:hint="default"/>
          <w:lang w:val="en-US" w:eastAsia="zh-CN"/>
        </w:rPr>
      </w:pPr>
      <w:r>
        <w:rPr>
          <w:rFonts w:hint="default"/>
          <w:lang w:val="en-US" w:eastAsia="zh-CN"/>
        </w:rPr>
        <w:t>流程规范类与培训资料类条目系统收录了标准作业程序与内部培训材料，为服务标准化与人员培训提供了基础。</w:t>
      </w:r>
    </w:p>
    <w:p w14:paraId="6DDED23A">
      <w:pPr>
        <w:pStyle w:val="29"/>
        <w:ind w:left="0" w:leftChars="0" w:right="0" w:rightChars="0" w:firstLine="0" w:firstLineChars="0"/>
        <w:jc w:val="center"/>
        <w:rPr>
          <w:rFonts w:hint="default"/>
          <w:lang w:val="en-US" w:eastAsia="zh-CN"/>
        </w:rPr>
      </w:pPr>
      <w:r>
        <w:drawing>
          <wp:inline distT="0" distB="0" distL="114300" distR="114300">
            <wp:extent cx="5262245" cy="2797175"/>
            <wp:effectExtent l="0" t="0" r="10795" b="698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0"/>
                    <a:stretch>
                      <a:fillRect/>
                    </a:stretch>
                  </pic:blipFill>
                  <pic:spPr>
                    <a:xfrm>
                      <a:off x="0" y="0"/>
                      <a:ext cx="5262245" cy="2797175"/>
                    </a:xfrm>
                    <a:prstGeom prst="rect">
                      <a:avLst/>
                    </a:prstGeom>
                    <a:noFill/>
                    <a:ln>
                      <a:noFill/>
                    </a:ln>
                  </pic:spPr>
                </pic:pic>
              </a:graphicData>
            </a:graphic>
          </wp:inline>
        </w:drawing>
      </w:r>
      <w:r>
        <w:drawing>
          <wp:inline distT="0" distB="0" distL="114300" distR="114300">
            <wp:extent cx="5266055" cy="2665730"/>
            <wp:effectExtent l="0" t="0" r="6985" b="127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1"/>
                    <a:stretch>
                      <a:fillRect/>
                    </a:stretch>
                  </pic:blipFill>
                  <pic:spPr>
                    <a:xfrm>
                      <a:off x="0" y="0"/>
                      <a:ext cx="5266055" cy="2665730"/>
                    </a:xfrm>
                    <a:prstGeom prst="rect">
                      <a:avLst/>
                    </a:prstGeom>
                    <a:noFill/>
                    <a:ln>
                      <a:noFill/>
                    </a:ln>
                  </pic:spPr>
                </pic:pic>
              </a:graphicData>
            </a:graphic>
          </wp:inline>
        </w:drawing>
      </w:r>
    </w:p>
    <w:p w14:paraId="407D343C">
      <w:pPr>
        <w:pStyle w:val="30"/>
        <w:bidi w:val="0"/>
        <w:rPr>
          <w:rFonts w:hint="default"/>
          <w:lang w:val="en-US" w:eastAsia="zh-CN"/>
        </w:rPr>
      </w:pPr>
      <w:bookmarkStart w:id="8" w:name="_Toc21886"/>
      <w:r>
        <w:rPr>
          <w:rFonts w:hint="default"/>
          <w:lang w:val="en-US" w:eastAsia="zh-CN"/>
        </w:rPr>
        <w:t>流程执行情况</w:t>
      </w:r>
      <w:bookmarkEnd w:id="8"/>
    </w:p>
    <w:p w14:paraId="5A991F6F">
      <w:pPr>
        <w:pStyle w:val="29"/>
        <w:rPr>
          <w:rFonts w:hint="default"/>
          <w:lang w:val="en-US" w:eastAsia="zh-CN"/>
        </w:rPr>
      </w:pPr>
      <w:r>
        <w:rPr>
          <w:rFonts w:hint="default"/>
          <w:lang w:val="en-US" w:eastAsia="zh-CN"/>
        </w:rPr>
        <w:t>提交与审核：知识提交均通过《知识提交表》发起，遵循“提交人→部门负责人→服务知识专员”的三级审核流程，确保内容准确性与格式规范性。</w:t>
      </w:r>
    </w:p>
    <w:p w14:paraId="1AA9991D">
      <w:pPr>
        <w:pStyle w:val="29"/>
        <w:rPr>
          <w:rFonts w:hint="default"/>
          <w:lang w:val="en-US" w:eastAsia="zh-CN"/>
        </w:rPr>
      </w:pPr>
      <w:r>
        <w:rPr>
          <w:rFonts w:hint="default"/>
          <w:lang w:val="en-US" w:eastAsia="zh-CN"/>
        </w:rPr>
        <w:t>更新与维护：建立了知识内容定期复审机制，对因系统升级或流程变更而失效的知识，已发起修订或归档流程，确保知识时效性。</w:t>
      </w:r>
    </w:p>
    <w:p w14:paraId="5D70C9D8">
      <w:pPr>
        <w:pStyle w:val="29"/>
        <w:rPr>
          <w:rFonts w:hint="default"/>
          <w:lang w:val="en-US" w:eastAsia="zh-CN"/>
        </w:rPr>
      </w:pPr>
      <w:r>
        <w:rPr>
          <w:rFonts w:hint="default"/>
          <w:lang w:val="en-US" w:eastAsia="zh-CN"/>
        </w:rPr>
        <w:t>权限与安全：实现了全员可查阅、按角色控制编辑权限的安全策略，涉密信息均已按规定进行权限管控。</w:t>
      </w:r>
    </w:p>
    <w:p w14:paraId="36CD563A">
      <w:pPr>
        <w:pStyle w:val="28"/>
        <w:bidi w:val="0"/>
        <w:rPr>
          <w:rFonts w:hint="default"/>
          <w:lang w:val="en-US" w:eastAsia="zh-CN"/>
        </w:rPr>
      </w:pPr>
      <w:bookmarkStart w:id="9" w:name="_Toc25635"/>
      <w:r>
        <w:rPr>
          <w:rFonts w:hint="default"/>
          <w:lang w:val="en-US" w:eastAsia="zh-CN"/>
        </w:rPr>
        <w:t>核心考核指标达成情况</w:t>
      </w:r>
      <w:bookmarkEnd w:id="9"/>
    </w:p>
    <w:p w14:paraId="5E72239E">
      <w:pPr>
        <w:pStyle w:val="29"/>
        <w:ind w:left="0" w:leftChars="0" w:right="0" w:rightChars="0" w:firstLine="0" w:firstLineChars="0"/>
        <w:jc w:val="center"/>
        <w:rPr>
          <w:rFonts w:hint="default"/>
          <w:lang w:val="en-US" w:eastAsia="zh-CN"/>
        </w:rPr>
      </w:pPr>
      <w:bookmarkStart w:id="13" w:name="_GoBack"/>
      <w:r>
        <w:rPr>
          <w:rFonts w:hint="default"/>
          <w:lang w:val="en-US" w:eastAsia="zh-CN"/>
        </w:rPr>
        <w:drawing>
          <wp:inline distT="0" distB="0" distL="114300" distR="114300">
            <wp:extent cx="5256530" cy="2988310"/>
            <wp:effectExtent l="5080" t="4445" r="11430" b="40005"/>
            <wp:docPr id="11" name="图表 1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bookmarkEnd w:id="13"/>
    </w:p>
    <w:p w14:paraId="1487D9DA">
      <w:pPr>
        <w:pStyle w:val="29"/>
        <w:rPr>
          <w:rFonts w:hint="default"/>
          <w:lang w:val="en-US" w:eastAsia="zh-CN"/>
        </w:rPr>
      </w:pPr>
      <w:r>
        <w:rPr>
          <w:rFonts w:hint="default"/>
          <w:lang w:val="en-US" w:eastAsia="zh-CN"/>
        </w:rPr>
        <w:t>制度设定的核心季度考核指标为“新增知识条目≥10条”。</w:t>
      </w:r>
    </w:p>
    <w:p w14:paraId="1847FB8C">
      <w:pPr>
        <w:pStyle w:val="29"/>
        <w:rPr>
          <w:rFonts w:hint="default"/>
          <w:lang w:val="en-US" w:eastAsia="zh-CN"/>
        </w:rPr>
      </w:pPr>
      <w:r>
        <w:rPr>
          <w:rFonts w:hint="default"/>
          <w:lang w:val="en-US" w:eastAsia="zh-CN"/>
        </w:rPr>
        <w:t>第一季度（2025年Q1）：新增知识条目15条。制度初期通过推广活动，积累了首批基础文档。</w:t>
      </w:r>
    </w:p>
    <w:p w14:paraId="00E35CD9">
      <w:pPr>
        <w:pStyle w:val="29"/>
        <w:rPr>
          <w:rFonts w:hint="default"/>
          <w:lang w:val="en-US" w:eastAsia="zh-CN"/>
        </w:rPr>
      </w:pPr>
      <w:r>
        <w:rPr>
          <w:rFonts w:hint="default"/>
          <w:lang w:val="en-US" w:eastAsia="zh-CN"/>
        </w:rPr>
        <w:t>第二季度（2025年Q2）：新增知识条目12条。内容重点转向典型故障案例沉淀。</w:t>
      </w:r>
    </w:p>
    <w:p w14:paraId="1D4FB70E">
      <w:pPr>
        <w:pStyle w:val="29"/>
        <w:rPr>
          <w:rFonts w:hint="default"/>
          <w:lang w:val="en-US" w:eastAsia="zh-CN"/>
        </w:rPr>
      </w:pPr>
      <w:r>
        <w:rPr>
          <w:rFonts w:hint="default"/>
          <w:lang w:val="en-US" w:eastAsia="zh-CN"/>
        </w:rPr>
        <w:t>第三季度（2025年Q3）：新增知识条目18条。随着员工意识提升，提交数量与质量同步增长。</w:t>
      </w:r>
    </w:p>
    <w:p w14:paraId="7558F5AF">
      <w:pPr>
        <w:pStyle w:val="29"/>
        <w:rPr>
          <w:rFonts w:hint="default"/>
          <w:lang w:val="en-US" w:eastAsia="zh-CN"/>
        </w:rPr>
      </w:pPr>
      <w:r>
        <w:rPr>
          <w:rFonts w:hint="default"/>
          <w:lang w:val="en-US" w:eastAsia="zh-CN"/>
        </w:rPr>
        <w:t>截至2025年11月，本年累计新增知识条目已达45条，各季度均超额完成考核目标，知识积累呈现稳步增长态势。</w:t>
      </w:r>
    </w:p>
    <w:p w14:paraId="482C4E81">
      <w:pPr>
        <w:pStyle w:val="28"/>
        <w:bidi w:val="0"/>
        <w:rPr>
          <w:rFonts w:hint="default"/>
          <w:lang w:val="en-US" w:eastAsia="zh-CN"/>
        </w:rPr>
      </w:pPr>
      <w:bookmarkStart w:id="10" w:name="_Toc32166"/>
      <w:r>
        <w:rPr>
          <w:rFonts w:hint="default"/>
          <w:lang w:val="en-US" w:eastAsia="zh-CN"/>
        </w:rPr>
        <w:t>取得的成效与价值</w:t>
      </w:r>
      <w:bookmarkEnd w:id="10"/>
    </w:p>
    <w:p w14:paraId="537CB6F9">
      <w:pPr>
        <w:pStyle w:val="29"/>
        <w:rPr>
          <w:rFonts w:hint="default"/>
          <w:lang w:val="en-US" w:eastAsia="zh-CN"/>
        </w:rPr>
      </w:pPr>
      <w:r>
        <w:rPr>
          <w:rFonts w:hint="default"/>
          <w:lang w:val="en-US" w:eastAsia="zh-CN"/>
        </w:rPr>
        <w:t>提升运维效率：常见问题的解决方案可直接从</w:t>
      </w:r>
      <w:r>
        <w:rPr>
          <w:rFonts w:hint="eastAsia"/>
          <w:lang w:val="en-US" w:eastAsia="zh-CN"/>
        </w:rPr>
        <w:t>服务知识</w:t>
      </w:r>
      <w:r>
        <w:rPr>
          <w:rFonts w:hint="default"/>
          <w:lang w:val="en-US" w:eastAsia="zh-CN"/>
        </w:rPr>
        <w:t>获取，一线解决率预估提升约20%，平均事件处理时长有所下降。</w:t>
      </w:r>
    </w:p>
    <w:p w14:paraId="5C0F9972">
      <w:pPr>
        <w:pStyle w:val="29"/>
        <w:rPr>
          <w:rFonts w:hint="default"/>
          <w:lang w:val="en-US" w:eastAsia="zh-CN"/>
        </w:rPr>
      </w:pPr>
      <w:r>
        <w:rPr>
          <w:rFonts w:hint="default"/>
          <w:lang w:val="en-US" w:eastAsia="zh-CN"/>
        </w:rPr>
        <w:t>促进经验传承：通过将个人经验转化为组织资产，有效降低了因人员流动带来的知识流失风险，加速了新员工成长。</w:t>
      </w:r>
    </w:p>
    <w:p w14:paraId="789AA37C">
      <w:pPr>
        <w:pStyle w:val="29"/>
        <w:rPr>
          <w:rFonts w:hint="default"/>
          <w:lang w:val="en-US" w:eastAsia="zh-CN"/>
        </w:rPr>
      </w:pPr>
      <w:r>
        <w:rPr>
          <w:rFonts w:hint="default"/>
          <w:lang w:val="en-US" w:eastAsia="zh-CN"/>
        </w:rPr>
        <w:t>强化问题预防：对过往故障案例的复盘与共享，有助于识别潜在风险，推动从“被动救火”到“主动预防”的转变。</w:t>
      </w:r>
    </w:p>
    <w:p w14:paraId="2B794C42">
      <w:pPr>
        <w:pStyle w:val="29"/>
        <w:rPr>
          <w:rFonts w:hint="default"/>
          <w:lang w:val="en-US" w:eastAsia="zh-CN"/>
        </w:rPr>
      </w:pPr>
      <w:r>
        <w:rPr>
          <w:rFonts w:hint="default"/>
          <w:lang w:val="en-US" w:eastAsia="zh-CN"/>
        </w:rPr>
        <w:t>支持决策与培训：结构化的知识为管理决策提供了数据支持，分类培训资料也成为内部培训体系的重要组成。</w:t>
      </w:r>
    </w:p>
    <w:p w14:paraId="7C3DCEA7">
      <w:pPr>
        <w:pStyle w:val="28"/>
        <w:bidi w:val="0"/>
        <w:rPr>
          <w:rFonts w:hint="default"/>
          <w:lang w:val="en-US" w:eastAsia="zh-CN"/>
        </w:rPr>
      </w:pPr>
      <w:bookmarkStart w:id="11" w:name="_Toc26487"/>
      <w:r>
        <w:rPr>
          <w:rFonts w:hint="default"/>
          <w:lang w:val="en-US" w:eastAsia="zh-CN"/>
        </w:rPr>
        <w:t>持续改进方向</w:t>
      </w:r>
      <w:bookmarkEnd w:id="11"/>
    </w:p>
    <w:p w14:paraId="2A588B11">
      <w:pPr>
        <w:pStyle w:val="29"/>
        <w:rPr>
          <w:rFonts w:hint="default"/>
          <w:lang w:val="en-US" w:eastAsia="zh-CN"/>
        </w:rPr>
      </w:pPr>
      <w:r>
        <w:rPr>
          <w:rFonts w:hint="default"/>
          <w:lang w:val="en-US" w:eastAsia="zh-CN"/>
        </w:rPr>
        <w:t>深化内容质量：启动“精品知识”评选计划，激励提交高质量、高复用性的知识条目，并优化审核标准。</w:t>
      </w:r>
    </w:p>
    <w:p w14:paraId="246A6A45">
      <w:pPr>
        <w:pStyle w:val="29"/>
        <w:rPr>
          <w:rFonts w:hint="default"/>
          <w:lang w:val="en-US" w:eastAsia="zh-CN"/>
        </w:rPr>
      </w:pPr>
      <w:r>
        <w:rPr>
          <w:rFonts w:hint="default"/>
          <w:lang w:val="en-US" w:eastAsia="zh-CN"/>
        </w:rPr>
        <w:t>提升使用体验：计划引入知识地图与智能搜索功能，提升知识检索的便捷性与准确性。</w:t>
      </w:r>
    </w:p>
    <w:p w14:paraId="79199249">
      <w:pPr>
        <w:pStyle w:val="29"/>
        <w:rPr>
          <w:rFonts w:hint="default"/>
          <w:lang w:val="en-US" w:eastAsia="zh-CN"/>
        </w:rPr>
      </w:pPr>
      <w:r>
        <w:rPr>
          <w:rFonts w:hint="default"/>
          <w:lang w:val="en-US" w:eastAsia="zh-CN"/>
        </w:rPr>
        <w:t>加强推广与激励：将持续开展知识管理优秀部门与个人评选，并将知识贡献纳入相关岗位的绩效考核范畴，形成长效激励机制。</w:t>
      </w:r>
    </w:p>
    <w:p w14:paraId="11B49358">
      <w:pPr>
        <w:pStyle w:val="29"/>
        <w:rPr>
          <w:rFonts w:hint="default"/>
          <w:lang w:val="en-US" w:eastAsia="zh-CN"/>
        </w:rPr>
      </w:pPr>
      <w:r>
        <w:rPr>
          <w:rFonts w:hint="default"/>
          <w:lang w:val="en-US" w:eastAsia="zh-CN"/>
        </w:rPr>
        <w:t>推动跨部门共享：探索与研发、客服等部门的知识联动机制，扩大知识管理的价值半径。</w:t>
      </w:r>
    </w:p>
    <w:p w14:paraId="04AE662F">
      <w:pPr>
        <w:pStyle w:val="28"/>
        <w:bidi w:val="0"/>
        <w:rPr>
          <w:rFonts w:hint="default"/>
          <w:lang w:val="en-US" w:eastAsia="zh-CN"/>
        </w:rPr>
      </w:pPr>
      <w:bookmarkStart w:id="12" w:name="_Toc13029"/>
      <w:r>
        <w:rPr>
          <w:rFonts w:hint="default"/>
          <w:lang w:val="en-US" w:eastAsia="zh-CN"/>
        </w:rPr>
        <w:t>总结</w:t>
      </w:r>
      <w:bookmarkEnd w:id="12"/>
    </w:p>
    <w:p w14:paraId="39B6D168">
      <w:pPr>
        <w:pStyle w:val="29"/>
        <w:rPr>
          <w:rFonts w:hint="default"/>
          <w:lang w:val="en-US" w:eastAsia="zh-CN"/>
        </w:rPr>
      </w:pPr>
      <w:r>
        <w:rPr>
          <w:rFonts w:hint="default"/>
          <w:lang w:val="en-US" w:eastAsia="zh-CN"/>
        </w:rPr>
        <w:t>总体而言，《服务知识管理制度》已得到有效执行，知识管理体系初步建成并运转良好，在知识积累、效率提升与文化培育方面取得了阶段性成果。未来，知识管理工作将朝着更高质量、更智能化和更深度融合的方向持续演进，为公司的数智化运营提供坚实的知识支撑。</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AAF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E15234"/>
    <w:rsid w:val="00E54D24"/>
    <w:rsid w:val="03404493"/>
    <w:rsid w:val="03FB766B"/>
    <w:rsid w:val="06F757B1"/>
    <w:rsid w:val="0A2F1A41"/>
    <w:rsid w:val="0ED2440E"/>
    <w:rsid w:val="0F1F150D"/>
    <w:rsid w:val="10637A13"/>
    <w:rsid w:val="11AA3420"/>
    <w:rsid w:val="14867011"/>
    <w:rsid w:val="175D340E"/>
    <w:rsid w:val="18F63219"/>
    <w:rsid w:val="1DA86194"/>
    <w:rsid w:val="1E3C1BDD"/>
    <w:rsid w:val="1E667727"/>
    <w:rsid w:val="1FDA5F31"/>
    <w:rsid w:val="25641E0C"/>
    <w:rsid w:val="29C9048F"/>
    <w:rsid w:val="31046251"/>
    <w:rsid w:val="32DB76EC"/>
    <w:rsid w:val="34E15227"/>
    <w:rsid w:val="36154A5C"/>
    <w:rsid w:val="394A4669"/>
    <w:rsid w:val="396F2E47"/>
    <w:rsid w:val="3C8C1F1C"/>
    <w:rsid w:val="3CC86CCC"/>
    <w:rsid w:val="410858E9"/>
    <w:rsid w:val="43C06BC3"/>
    <w:rsid w:val="43DD483D"/>
    <w:rsid w:val="47E524E0"/>
    <w:rsid w:val="48D6451F"/>
    <w:rsid w:val="4ACC5F3F"/>
    <w:rsid w:val="4DA25BC4"/>
    <w:rsid w:val="4DE44FE8"/>
    <w:rsid w:val="4FB530E0"/>
    <w:rsid w:val="517C6BB3"/>
    <w:rsid w:val="517F39A6"/>
    <w:rsid w:val="51CB2747"/>
    <w:rsid w:val="55180399"/>
    <w:rsid w:val="559D43FA"/>
    <w:rsid w:val="561A3C9D"/>
    <w:rsid w:val="58005114"/>
    <w:rsid w:val="595B4CF8"/>
    <w:rsid w:val="59600776"/>
    <w:rsid w:val="59B25DD6"/>
    <w:rsid w:val="5AAC7F03"/>
    <w:rsid w:val="5C425CFC"/>
    <w:rsid w:val="5EB86749"/>
    <w:rsid w:val="62AD7C47"/>
    <w:rsid w:val="635D0903"/>
    <w:rsid w:val="659E1A28"/>
    <w:rsid w:val="66682803"/>
    <w:rsid w:val="6B9A16B0"/>
    <w:rsid w:val="6D0A63C2"/>
    <w:rsid w:val="6DE32D60"/>
    <w:rsid w:val="72CC7C01"/>
    <w:rsid w:val="74784559"/>
    <w:rsid w:val="75530B22"/>
    <w:rsid w:val="766905FD"/>
    <w:rsid w:val="7B2F195E"/>
    <w:rsid w:val="7D4E40A8"/>
    <w:rsid w:val="7E3F6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2 Char"/>
    <w:link w:val="30"/>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hart" Target="charts/chart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知识新增数</c:v>
                </c:pt>
              </c:strCache>
            </c:strRef>
          </c:tx>
          <c:spPr>
            <a:ln w="28575" cap="flat" cmpd="sng">
              <a:solidFill>
                <a:schemeClr val="accent1"/>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一季度</c:v>
                </c:pt>
                <c:pt idx="1">
                  <c:v>二季度</c:v>
                </c:pt>
                <c:pt idx="2">
                  <c:v>三季度</c:v>
                </c:pt>
              </c:strCache>
            </c:strRef>
          </c:cat>
          <c:val>
            <c:numRef>
              <c:f>Sheet1!$B$2:$B$4</c:f>
              <c:numCache>
                <c:formatCode>General</c:formatCode>
                <c:ptCount val="3"/>
                <c:pt idx="0">
                  <c:v>15</c:v>
                </c:pt>
                <c:pt idx="1">
                  <c:v>12</c:v>
                </c:pt>
                <c:pt idx="2">
                  <c:v>18</c:v>
                </c:pt>
              </c:numCache>
            </c:numRef>
          </c:val>
          <c:smooth val="0"/>
        </c:ser>
        <c:dLbls>
          <c:showLegendKey val="0"/>
          <c:showVal val="1"/>
          <c:showCatName val="0"/>
          <c:showSerName val="0"/>
          <c:showPercent val="0"/>
          <c:showBubbleSize val="0"/>
        </c:dLbls>
        <c:dropLines>
          <c:spPr>
            <a:ln w="9525" cap="flat" cmpd="sng" algn="ctr">
              <a:solidFill>
                <a:schemeClr val="tx1">
                  <a:lumMod val="35000"/>
                  <a:lumOff val="65000"/>
                </a:schemeClr>
              </a:solidFill>
              <a:round/>
            </a:ln>
            <a:effectLst/>
          </c:spPr>
        </c:dropLines>
        <c:marker val="0"/>
        <c:smooth val="0"/>
        <c:axId val="927488720"/>
        <c:axId val="797261006"/>
        <c:extLst>
          <c:ext xmlns:c15="http://schemas.microsoft.com/office/drawing/2012/chart" uri="{02D57815-91ED-43cb-92C2-25804820EDAC}">
            <c15:filteredLineSeries>
              <c15:ser>
                <c:idx val="1"/>
                <c:order val="1"/>
                <c:tx>
                  <c:strRef>
                    <c:extLst>
                      <c:ext uri="{02D57815-91ED-43cb-92C2-25804820EDAC}">
                        <c15:formulaRef>
                          <c15:sqref>Sheet1!#REF!</c15:sqref>
                        </c15:formulaRef>
                      </c:ext>
                    </c:extLst>
                    <c:strCache>
                      <c:ptCount val="1"/>
                      <c:pt idx="0">
                        <c:v/>
                      </c:pt>
                    </c:strCache>
                  </c:strRef>
                </c:tx>
                <c:spPr>
                  <a:ln w="28575" cap="rnd">
                    <a:solidFill>
                      <a:schemeClr val="accent2"/>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ullRef>
                          <c15:sqref/>
                        </c15:fullRef>
                        <c15:formulaRef>
                          <c15:sqref>Sheet1!$A$2:$A$4</c15:sqref>
                        </c15:formulaRef>
                      </c:ext>
                    </c:extLst>
                    <c:strCache>
                      <c:ptCount val="3"/>
                      <c:pt idx="0">
                        <c:v>一季度</c:v>
                      </c:pt>
                      <c:pt idx="1">
                        <c:v>二季度</c:v>
                      </c:pt>
                      <c:pt idx="2">
                        <c:v>三季度</c:v>
                      </c:pt>
                    </c:strCache>
                  </c:strRef>
                </c:cat>
                <c:val>
                  <c:numRef>
                    <c:extLst>
                      <c:ext uri="{02D57815-91ED-43cb-92C2-25804820EDAC}">
                        <c15:formulaRef>
                          <c15:sqref>Sheet1!#REF!</c15:sqref>
                        </c15:formulaRef>
                      </c:ext>
                    </c:extLst>
                    <c:numCache>
                      <c:formatCode>General</c:formatCode>
                      <c:ptCount val="1"/>
                      <c:pt idx="0">
                        <c:v>1</c:v>
                      </c:pt>
                    </c:numCache>
                  </c:numRef>
                </c:val>
                <c:smooth val="0"/>
              </c15:ser>
            </c15:filteredLineSeries>
            <c15:filteredLineSeries>
              <c15:ser>
                <c:idx val="2"/>
                <c:order val="2"/>
                <c:tx>
                  <c:strRef>
                    <c:extLst>
                      <c:ext uri="{02D57815-91ED-43cb-92C2-25804820EDAC}">
                        <c15:formulaRef>
                          <c15:sqref>Sheet1!#REF!</c15:sqref>
                        </c15:formulaRef>
                      </c:ext>
                    </c:extLst>
                    <c:strCache>
                      <c:ptCount val="1"/>
                      <c:pt idx="0">
                        <c:v/>
                      </c:pt>
                    </c:strCache>
                  </c:strRef>
                </c:tx>
                <c:spPr>
                  <a:ln w="28575" cap="rnd">
                    <a:solidFill>
                      <a:schemeClr val="accent3"/>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ullRef>
                          <c15:sqref/>
                        </c15:fullRef>
                        <c15:formulaRef>
                          <c15:sqref>Sheet1!$A$2:$A$4</c15:sqref>
                        </c15:formulaRef>
                      </c:ext>
                    </c:extLst>
                    <c:strCache>
                      <c:ptCount val="3"/>
                      <c:pt idx="0">
                        <c:v>一季度</c:v>
                      </c:pt>
                      <c:pt idx="1">
                        <c:v>二季度</c:v>
                      </c:pt>
                      <c:pt idx="2">
                        <c:v>三季度</c:v>
                      </c:pt>
                    </c:strCache>
                  </c:strRef>
                </c:cat>
                <c:val>
                  <c:numRef>
                    <c:extLst>
                      <c:ext uri="{02D57815-91ED-43cb-92C2-25804820EDAC}">
                        <c15:formulaRef>
                          <c15:sqref>Sheet1!#REF!</c15:sqref>
                        </c15:formulaRef>
                      </c:ext>
                    </c:extLst>
                    <c:numCache>
                      <c:formatCode>General</c:formatCode>
                      <c:ptCount val="1"/>
                      <c:pt idx="0">
                        <c:v>1</c:v>
                      </c:pt>
                    </c:numCache>
                  </c:numRef>
                </c:val>
                <c:smooth val="0"/>
              </c15:ser>
            </c15:filteredLineSeries>
          </c:ext>
        </c:extLst>
      </c:lineChart>
      <c:catAx>
        <c:axId val="927488720"/>
        <c:scaling>
          <c:orientation val="minMax"/>
        </c:scaling>
        <c:delete val="0"/>
        <c:axPos val="b"/>
        <c:title>
          <c:tx>
            <c:rich>
              <a:bodyPr rot="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t>季度</a:t>
                </a:r>
              </a:p>
            </c:rich>
          </c:tx>
          <c:layout/>
          <c:overlay val="0"/>
          <c:spPr>
            <a:noFill/>
            <a:ln>
              <a:noFill/>
            </a:ln>
            <a:effectLst/>
          </c:spPr>
        </c:title>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797261006"/>
        <c:crosses val="autoZero"/>
        <c:auto val="1"/>
        <c:lblAlgn val="ctr"/>
        <c:lblOffset val="100"/>
        <c:noMultiLvlLbl val="0"/>
      </c:catAx>
      <c:valAx>
        <c:axId val="797261006"/>
        <c:scaling>
          <c:orientation val="minMax"/>
          <c:min val="8"/>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r>
                  <a:rPr>
                    <a:latin typeface="宋体" panose="02010600030101010101" charset="-122"/>
                    <a:ea typeface="宋体" panose="02010600030101010101" charset="-122"/>
                    <a:cs typeface="宋体" panose="02010600030101010101" charset="-122"/>
                    <a:sym typeface="宋体" panose="02010600030101010101" charset="-122"/>
                  </a:rPr>
                  <a:t>新增知识条目（条）</a:t>
                </a:r>
                <a:endParaRPr>
                  <a:latin typeface="宋体" panose="02010600030101010101" charset="-122"/>
                  <a:ea typeface="宋体" panose="02010600030101010101" charset="-122"/>
                  <a:cs typeface="宋体" panose="02010600030101010101" charset="-122"/>
                  <a:sym typeface="宋体" panose="02010600030101010101" charset="-122"/>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crossAx val="927488720"/>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legend>
    <c:plotVisOnly val="1"/>
    <c:dispBlanksAs val="gap"/>
    <c:showDLblsOverMax val="0"/>
    <c:extLst>
      <c:ext uri="{0b15fc19-7d7d-44ad-8c2d-2c3a37ce22c3}">
        <chartProps xmlns="https://web.wps.cn/et/2018/main" chartId="{8c083112-9fcc-4850-b79d-4dc89778c573}"/>
      </c:ext>
    </c:extLst>
  </c:chart>
  <c:spPr>
    <a:solidFill>
      <a:schemeClr val="bg1"/>
    </a:solidFill>
    <a:ln w="6350" cap="flat"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宋体" panose="02010600030101010101" charset="-122"/>
          <a:ea typeface="宋体" panose="02010600030101010101" charset="-122"/>
          <a:cs typeface="宋体" panose="02010600030101010101" charset="-122"/>
          <a:sym typeface="宋体" panose="02010600030101010101"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7</Pages>
  <Words>1729</Words>
  <Characters>1838</Characters>
  <Lines>0</Lines>
  <Paragraphs>0</Paragraphs>
  <TotalTime>1</TotalTime>
  <ScaleCrop>false</ScaleCrop>
  <LinksUpToDate>false</LinksUpToDate>
  <CharactersWithSpaces>1888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2026-01-22T02:55:09Z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