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D5AD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45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5ADD27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009"/>
      <w:r>
        <w:rPr>
          <w:rFonts w:hint="eastAsia"/>
          <w:lang w:val="en-US" w:eastAsia="zh-CN"/>
        </w:rPr>
        <w:t>最终软件库应用情况说明</w:t>
      </w:r>
      <w:bookmarkEnd w:id="1"/>
    </w:p>
    <w:p w14:paraId="3766B4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62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05DE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49F8E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42CFD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60B1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18B3C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70E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A971C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878FD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38EDE64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FD83C0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4270FC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EC599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7FE702E">
          <w:pPr>
            <w:pStyle w:val="16"/>
            <w:tabs>
              <w:tab w:val="right" w:leader="dot" w:pos="8306"/>
            </w:tabs>
          </w:pPr>
          <w:bookmarkStart w:id="17" w:name="_GoBack"/>
          <w:bookmarkEnd w:id="1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_Toc8458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D4B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_Toc17009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7F01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管理体系建设与职责落实情况</w:t>
          </w:r>
          <w:r>
            <w:tab/>
          </w:r>
          <w:r>
            <w:fldChar w:fldCharType="begin"/>
          </w:r>
          <w:r>
            <w:instrText xml:space="preserve"> PAGEREF _Toc19254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6C5D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制度落地与规范明确</w:t>
          </w:r>
          <w:r>
            <w:tab/>
          </w:r>
          <w:r>
            <w:fldChar w:fldCharType="begin"/>
          </w:r>
          <w:r>
            <w:instrText xml:space="preserve"> PAGEREF _Toc880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D2B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跨部门职责协同机制建立</w:t>
          </w:r>
          <w:r>
            <w:tab/>
          </w:r>
          <w:r>
            <w:fldChar w:fldCharType="begin"/>
          </w:r>
          <w:r>
            <w:instrText xml:space="preserve"> PAGEREF _Toc22229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0A72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最终软件库运行机制与实施情况</w:t>
          </w:r>
          <w:r>
            <w:tab/>
          </w:r>
          <w:r>
            <w:fldChar w:fldCharType="begin"/>
          </w:r>
          <w:r>
            <w:instrText xml:space="preserve"> PAGEREF _Toc19802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BF1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库体建设与分类存储</w:t>
          </w:r>
          <w:r>
            <w:tab/>
          </w:r>
          <w:r>
            <w:fldChar w:fldCharType="begin"/>
          </w:r>
          <w:r>
            <w:instrText xml:space="preserve"> PAGEREF _Toc10467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66FE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核心流程闭环执行</w:t>
          </w:r>
          <w:r>
            <w:tab/>
          </w:r>
          <w:r>
            <w:fldChar w:fldCharType="begin"/>
          </w:r>
          <w:r>
            <w:instrText xml:space="preserve"> PAGEREF _Toc25965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6F1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软件入库流程</w:t>
          </w:r>
          <w:r>
            <w:tab/>
          </w:r>
          <w:r>
            <w:fldChar w:fldCharType="begin"/>
          </w:r>
          <w:r>
            <w:instrText xml:space="preserve"> PAGEREF _Toc23820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0505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软件出库与发布控制</w:t>
          </w:r>
          <w:r>
            <w:tab/>
          </w:r>
          <w:r>
            <w:fldChar w:fldCharType="begin"/>
          </w:r>
          <w:r>
            <w:instrText xml:space="preserve"> PAGEREF _Toc24172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9C65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安全与访问控制</w:t>
          </w:r>
          <w:r>
            <w:tab/>
          </w:r>
          <w:r>
            <w:fldChar w:fldCharType="begin"/>
          </w:r>
          <w:r>
            <w:instrText xml:space="preserve"> PAGEREF _Toc4546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4C41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考核指标达成与审计改进情况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4C6C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备份与恢复保障</w:t>
          </w:r>
          <w:r>
            <w:tab/>
          </w:r>
          <w:r>
            <w:fldChar w:fldCharType="begin"/>
          </w:r>
          <w:r>
            <w:instrText xml:space="preserve"> PAGEREF _Toc18977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0CE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实施成效与后续计划</w:t>
          </w:r>
          <w:r>
            <w:tab/>
          </w:r>
          <w:r>
            <w:fldChar w:fldCharType="begin"/>
          </w:r>
          <w:r>
            <w:instrText xml:space="preserve"> PAGEREF _Toc21926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40E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主要成效</w:t>
          </w:r>
          <w:r>
            <w:tab/>
          </w:r>
          <w:r>
            <w:fldChar w:fldCharType="begin"/>
          </w:r>
          <w:r>
            <w:instrText xml:space="preserve"> PAGEREF _Toc15334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A329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持续优化方向</w:t>
          </w:r>
          <w:r>
            <w:tab/>
          </w:r>
          <w:r>
            <w:fldChar w:fldCharType="begin"/>
          </w:r>
          <w:r>
            <w:instrText xml:space="preserve"> PAGEREF _Toc12589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6352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</w:t>
          </w:r>
          <w:r>
            <w:tab/>
          </w:r>
          <w:r>
            <w:fldChar w:fldCharType="begin"/>
          </w:r>
          <w:r>
            <w:instrText xml:space="preserve"> PAGEREF _Toc20979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228EA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C16B2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B9A76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贯彻落实《最终软件库管理制度》（文件编号：JXTX-08-05），实现对生产环境软件资产的规范化、安全化与全生命周期管理，确保软件版本统一、可靠、可追溯，公司自制度发布以来，已系统性地推进并完成了最终软件库的建设与运营工作。截至2025年11月</w:t>
      </w:r>
      <w:r>
        <w:rPr>
          <w:rFonts w:hint="eastAsia"/>
          <w:lang w:val="en-US" w:eastAsia="zh-CN"/>
        </w:rPr>
        <w:t>，取得了良好效果。</w:t>
      </w:r>
    </w:p>
    <w:p w14:paraId="6BFCE03A">
      <w:pPr>
        <w:pStyle w:val="28"/>
        <w:bidi w:val="0"/>
        <w:rPr>
          <w:rFonts w:hint="default"/>
          <w:lang w:val="en-US" w:eastAsia="zh-CN"/>
        </w:rPr>
      </w:pPr>
      <w:bookmarkStart w:id="2" w:name="_Toc19254"/>
      <w:r>
        <w:rPr>
          <w:rFonts w:hint="default"/>
          <w:lang w:val="en-US" w:eastAsia="zh-CN"/>
        </w:rPr>
        <w:t>管理体系建设与职责落实情况</w:t>
      </w:r>
      <w:bookmarkEnd w:id="2"/>
    </w:p>
    <w:p w14:paraId="52130660">
      <w:pPr>
        <w:pStyle w:val="30"/>
        <w:bidi w:val="0"/>
        <w:rPr>
          <w:rFonts w:hint="default"/>
          <w:lang w:val="en-US" w:eastAsia="zh-CN"/>
        </w:rPr>
      </w:pPr>
      <w:bookmarkStart w:id="3" w:name="_Toc880"/>
      <w:r>
        <w:rPr>
          <w:rFonts w:hint="default"/>
          <w:lang w:val="en-US" w:eastAsia="zh-CN"/>
        </w:rPr>
        <w:t>制度落地与规范明确</w:t>
      </w:r>
      <w:bookmarkEnd w:id="3"/>
    </w:p>
    <w:p w14:paraId="512A17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已依据制度要求，完成最终软件库的规划设计，明确了软件资产从“开发测试→申请入库→审批验证→归档存储→授权出库→版本回溯”的端到端管理流程，并制定了配套的《软件入库申请表》及操作细则。</w:t>
      </w:r>
    </w:p>
    <w:p w14:paraId="303EB82F">
      <w:pPr>
        <w:pStyle w:val="30"/>
        <w:bidi w:val="0"/>
        <w:rPr>
          <w:rFonts w:hint="default"/>
          <w:lang w:val="en-US" w:eastAsia="zh-CN"/>
        </w:rPr>
      </w:pPr>
      <w:bookmarkStart w:id="4" w:name="_Toc22229"/>
      <w:r>
        <w:rPr>
          <w:rFonts w:hint="default"/>
          <w:lang w:val="en-US" w:eastAsia="zh-CN"/>
        </w:rPr>
        <w:t>跨部门职责协同机制建立</w:t>
      </w:r>
      <w:bookmarkEnd w:id="4"/>
    </w:p>
    <w:p w14:paraId="53ED2D8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数智运营部作为归口管理部门，已负责完成软件库的搭建、日常维护及流程管控。</w:t>
      </w:r>
    </w:p>
    <w:p w14:paraId="13B929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质量管理部与研究总院的职责接口已清晰界定，形成了“研发提交-测试验证-运维入库”的协同工作流。</w:t>
      </w:r>
    </w:p>
    <w:p w14:paraId="5025E0A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运维工程师作为关键执行角色，已落实软件的具体入库、出库、版本标签管理及日志记录职责。</w:t>
      </w:r>
    </w:p>
    <w:p w14:paraId="24A50431">
      <w:pPr>
        <w:pStyle w:val="28"/>
        <w:bidi w:val="0"/>
        <w:rPr>
          <w:rFonts w:hint="default"/>
          <w:lang w:val="en-US" w:eastAsia="zh-CN"/>
        </w:rPr>
      </w:pPr>
      <w:bookmarkStart w:id="5" w:name="_Toc19802"/>
      <w:r>
        <w:rPr>
          <w:rFonts w:hint="default"/>
          <w:lang w:val="en-US" w:eastAsia="zh-CN"/>
        </w:rPr>
        <w:t>最终软件库运行机制与实施情况</w:t>
      </w:r>
      <w:bookmarkEnd w:id="5"/>
    </w:p>
    <w:p w14:paraId="002E3103">
      <w:pPr>
        <w:pStyle w:val="30"/>
        <w:bidi w:val="0"/>
        <w:rPr>
          <w:rFonts w:hint="default"/>
          <w:lang w:val="en-US" w:eastAsia="zh-CN"/>
        </w:rPr>
      </w:pPr>
      <w:bookmarkStart w:id="6" w:name="_Toc10467"/>
      <w:r>
        <w:rPr>
          <w:rFonts w:hint="default"/>
          <w:lang w:val="en-US" w:eastAsia="zh-CN"/>
        </w:rPr>
        <w:t>库体建设与分类存储</w:t>
      </w:r>
      <w:bookmarkEnd w:id="6"/>
    </w:p>
    <w:p w14:paraId="4E7A0B1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已建立集中、受控的最终软件库存储体系（基于专用存储服务器或版本控制系统），严格按照制度定义的范畴，对系统软件、应用软件、脚本及配置文件等进行分类存储，确保物理与逻辑结构清晰。</w:t>
      </w:r>
    </w:p>
    <w:p w14:paraId="7336DF46">
      <w:pPr>
        <w:pStyle w:val="30"/>
        <w:bidi w:val="0"/>
        <w:rPr>
          <w:rFonts w:hint="default"/>
          <w:lang w:val="en-US" w:eastAsia="zh-CN"/>
        </w:rPr>
      </w:pPr>
      <w:bookmarkStart w:id="7" w:name="_Toc25965"/>
      <w:r>
        <w:rPr>
          <w:rFonts w:hint="default"/>
          <w:lang w:val="en-US" w:eastAsia="zh-CN"/>
        </w:rPr>
        <w:t>核心流程闭环执行</w:t>
      </w:r>
      <w:bookmarkEnd w:id="7"/>
    </w:p>
    <w:p w14:paraId="08F14965">
      <w:pPr>
        <w:pStyle w:val="31"/>
        <w:bidi w:val="0"/>
        <w:rPr>
          <w:rFonts w:hint="default"/>
          <w:lang w:val="en-US" w:eastAsia="zh-CN"/>
        </w:rPr>
      </w:pPr>
      <w:bookmarkStart w:id="8" w:name="_Toc23820"/>
      <w:r>
        <w:rPr>
          <w:rFonts w:hint="default"/>
          <w:lang w:val="en-US" w:eastAsia="zh-CN"/>
        </w:rPr>
        <w:t>软件入库流程</w:t>
      </w:r>
      <w:bookmarkEnd w:id="8"/>
    </w:p>
    <w:p w14:paraId="04031E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所有拟上线生产环境的软件版本，均严格执行“申请-测试-审批-入库”流程。截至11月，累计完成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次重要软件版本（含补丁）的合规入库，入库资料完整，版本标识唯一。</w:t>
      </w:r>
    </w:p>
    <w:p w14:paraId="37ECC8F7">
      <w:pPr>
        <w:pStyle w:val="31"/>
        <w:bidi w:val="0"/>
        <w:rPr>
          <w:rFonts w:hint="default"/>
          <w:lang w:val="en-US" w:eastAsia="zh-CN"/>
        </w:rPr>
      </w:pPr>
      <w:bookmarkStart w:id="9" w:name="_Toc24172"/>
      <w:r>
        <w:rPr>
          <w:rFonts w:hint="default"/>
          <w:lang w:val="en-US" w:eastAsia="zh-CN"/>
        </w:rPr>
        <w:t>软件出库与发布控制</w:t>
      </w:r>
      <w:bookmarkEnd w:id="9"/>
    </w:p>
    <w:p w14:paraId="401345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生产环境的所有软件部署与升级，均来源于最终软件库，并通过出库申请与审批记录实现发布溯源，有效杜绝了未经授权的软件变更。</w:t>
      </w:r>
    </w:p>
    <w:p w14:paraId="4D1C2F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版本控制与历史存档：严格遵循“禁止覆盖更新”原则，所有历史版本均得以保留，确保了在必要时可快速、准确地进行版本回退或问题追溯。</w:t>
      </w:r>
    </w:p>
    <w:p w14:paraId="4F95471B">
      <w:pPr>
        <w:pStyle w:val="31"/>
        <w:bidi w:val="0"/>
        <w:rPr>
          <w:rFonts w:hint="default"/>
          <w:lang w:val="en-US" w:eastAsia="zh-CN"/>
        </w:rPr>
      </w:pPr>
      <w:bookmarkStart w:id="10" w:name="_Toc4546"/>
      <w:r>
        <w:rPr>
          <w:rFonts w:hint="default"/>
          <w:lang w:val="en-US" w:eastAsia="zh-CN"/>
        </w:rPr>
        <w:t>安全与访问控制</w:t>
      </w:r>
      <w:bookmarkEnd w:id="10"/>
    </w:p>
    <w:p w14:paraId="1A2DCC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权限分级管理：已依据制度定义的“运维工程师、开发人员、测试人员、运维人员”等角色，配置了差异化的“读、写、发布、管理”权限，遵循最小权限原则。</w:t>
      </w:r>
    </w:p>
    <w:p w14:paraId="64E77A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操作审计常态化：启用了完整的操作日志功能，记录所有访问、上传、下载行为。运维工程师按月审查日志，数智运营部按季进行权限合规性评审，安全管理机制运行有效。</w:t>
      </w:r>
    </w:p>
    <w:p w14:paraId="01E30EE8">
      <w:pPr>
        <w:pStyle w:val="28"/>
        <w:bidi w:val="0"/>
        <w:rPr>
          <w:rFonts w:hint="default"/>
          <w:lang w:val="en-US" w:eastAsia="zh-CN"/>
        </w:rPr>
      </w:pPr>
      <w:bookmarkStart w:id="11" w:name="_Toc16593"/>
      <w:r>
        <w:rPr>
          <w:rFonts w:hint="default"/>
          <w:lang w:val="en-US" w:eastAsia="zh-CN"/>
        </w:rPr>
        <w:t>考核指标达成与审计改进情况</w:t>
      </w:r>
      <w:bookmarkEnd w:id="11"/>
    </w:p>
    <w:p w14:paraId="4C8D5C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制度设定的核心考核指标为“软件合规性审计次数”，目标为每半年不少于1次。</w:t>
      </w:r>
    </w:p>
    <w:p w14:paraId="4E2F9E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上半年审计：已于6月完成首次最终软件库全面合规性审计，审计范围涵盖库存软件合规性、流程执行符合度、权限设置合理性及备份有效性，并形成了书面审计报告。针对审计中发现的部分流程记录细节问题，已完成整改。</w:t>
      </w:r>
    </w:p>
    <w:p w14:paraId="68A835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持续改进机制：根据首次审计结论及日常操作反馈，已对《软件入库申请表》模板及部分操作指引进行了优化，管理流程持续完善。</w:t>
      </w:r>
    </w:p>
    <w:p w14:paraId="0945485C">
      <w:pPr>
        <w:pStyle w:val="28"/>
        <w:bidi w:val="0"/>
        <w:rPr>
          <w:rFonts w:hint="default"/>
          <w:lang w:val="en-US" w:eastAsia="zh-CN"/>
        </w:rPr>
      </w:pPr>
      <w:bookmarkStart w:id="12" w:name="_Toc18977"/>
      <w:r>
        <w:rPr>
          <w:rFonts w:hint="default"/>
          <w:lang w:val="en-US" w:eastAsia="zh-CN"/>
        </w:rPr>
        <w:t>备份与恢复保障</w:t>
      </w:r>
      <w:bookmarkEnd w:id="12"/>
    </w:p>
    <w:p w14:paraId="74C2F39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并执行严格的备份策略，对最终软件库实施每月全量备份与每周增量备份，备份数据异地保存。已于2025年下半年成功组织了一次备份恢复演练，验证了备份数据的完整性与可恢复性，保障了软件资产的安全底线。</w:t>
      </w:r>
    </w:p>
    <w:p w14:paraId="334C7090">
      <w:pPr>
        <w:pStyle w:val="28"/>
        <w:bidi w:val="0"/>
        <w:rPr>
          <w:rFonts w:hint="default"/>
          <w:lang w:val="en-US" w:eastAsia="zh-CN"/>
        </w:rPr>
      </w:pPr>
      <w:bookmarkStart w:id="13" w:name="_Toc21926"/>
      <w:r>
        <w:rPr>
          <w:rFonts w:hint="default"/>
          <w:lang w:val="en-US" w:eastAsia="zh-CN"/>
        </w:rPr>
        <w:t>实施成效与后续计划</w:t>
      </w:r>
      <w:bookmarkEnd w:id="13"/>
    </w:p>
    <w:p w14:paraId="1BAD8E55">
      <w:pPr>
        <w:pStyle w:val="30"/>
        <w:bidi w:val="0"/>
        <w:rPr>
          <w:rFonts w:hint="default"/>
          <w:lang w:val="en-US" w:eastAsia="zh-CN"/>
        </w:rPr>
      </w:pPr>
      <w:bookmarkStart w:id="14" w:name="_Toc15334"/>
      <w:r>
        <w:rPr>
          <w:rFonts w:hint="default"/>
          <w:lang w:val="en-US" w:eastAsia="zh-CN"/>
        </w:rPr>
        <w:t>主要成效</w:t>
      </w:r>
      <w:bookmarkEnd w:id="14"/>
    </w:p>
    <w:p w14:paraId="17DB99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版本一致性得到保障：生产环境软件来源唯一，彻底解决了以往因版本混乱导致的部署差异问题。</w:t>
      </w:r>
    </w:p>
    <w:p w14:paraId="659548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安全性与合规性提升：通过严格的权限与流程控制，显著降低了软件被非法篡改或误操作的风险。</w:t>
      </w:r>
    </w:p>
    <w:p w14:paraId="05481A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运维效率与可追溯性增强：标准化的入库、出库流程与完善的版本历史，极大提升了软件部署、升级与故障排查的效率。</w:t>
      </w:r>
    </w:p>
    <w:p w14:paraId="7D620DE5">
      <w:pPr>
        <w:pStyle w:val="30"/>
        <w:bidi w:val="0"/>
        <w:rPr>
          <w:rFonts w:hint="default"/>
          <w:lang w:val="en-US" w:eastAsia="zh-CN"/>
        </w:rPr>
      </w:pPr>
      <w:bookmarkStart w:id="15" w:name="_Toc12589"/>
      <w:r>
        <w:rPr>
          <w:rFonts w:hint="default"/>
          <w:lang w:val="en-US" w:eastAsia="zh-CN"/>
        </w:rPr>
        <w:t>持续优化方向</w:t>
      </w:r>
      <w:bookmarkEnd w:id="15"/>
    </w:p>
    <w:p w14:paraId="002C18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计划引入更先进的软件资产管理与生命周期（SCM）工具，进一步提升自动化管理与可视化水平。</w:t>
      </w:r>
    </w:p>
    <w:p w14:paraId="1442870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将结合项目实践，细化对开源软件组件、第三方商业软件的许可证与漏洞管理要求。</w:t>
      </w:r>
    </w:p>
    <w:p w14:paraId="5B2CA2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定期开展制度与流程培训，强化全员对最终软件库重要性的认知与合规操作意识。</w:t>
      </w:r>
    </w:p>
    <w:p w14:paraId="46349A87">
      <w:pPr>
        <w:pStyle w:val="28"/>
        <w:bidi w:val="0"/>
        <w:rPr>
          <w:rFonts w:hint="default"/>
          <w:lang w:val="en-US" w:eastAsia="zh-CN"/>
        </w:rPr>
      </w:pPr>
      <w:bookmarkStart w:id="16" w:name="_Toc20979"/>
      <w:r>
        <w:rPr>
          <w:rFonts w:hint="default"/>
          <w:lang w:val="en-US" w:eastAsia="zh-CN"/>
        </w:rPr>
        <w:t>总结</w:t>
      </w:r>
      <w:bookmarkEnd w:id="16"/>
    </w:p>
    <w:p w14:paraId="39B6D16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《最终软件库管理制度》已得到有效执行，相关的管理体系、技术平台与操作流程均已建立并稳定运行。最终软件库作为公司核心软件资产的“单一可信源”，在保障系统稳定、提升运维规范性及满足安全合规要求方面，正发挥日益关键的基础支撑作用。未来，数智运营部将继续牵头，推动该体系的持续优化与深入应用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8AAF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280EF8"/>
    <w:rsid w:val="0AB67AAA"/>
    <w:rsid w:val="0F1F150D"/>
    <w:rsid w:val="10B14C22"/>
    <w:rsid w:val="11AA3420"/>
    <w:rsid w:val="120F501B"/>
    <w:rsid w:val="13AD5CF9"/>
    <w:rsid w:val="151417DA"/>
    <w:rsid w:val="1E3C1BDD"/>
    <w:rsid w:val="1E667727"/>
    <w:rsid w:val="1F572E39"/>
    <w:rsid w:val="221927CB"/>
    <w:rsid w:val="32230959"/>
    <w:rsid w:val="3E984202"/>
    <w:rsid w:val="45CF2E79"/>
    <w:rsid w:val="46713F31"/>
    <w:rsid w:val="46EC35B7"/>
    <w:rsid w:val="4F2002A2"/>
    <w:rsid w:val="59A81F82"/>
    <w:rsid w:val="59B25DD6"/>
    <w:rsid w:val="5BBE50CA"/>
    <w:rsid w:val="60C34F31"/>
    <w:rsid w:val="69337914"/>
    <w:rsid w:val="69F85C4B"/>
    <w:rsid w:val="6C3118E9"/>
    <w:rsid w:val="70F40AA2"/>
    <w:rsid w:val="797272AE"/>
    <w:rsid w:val="7DA4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1882</Words>
  <Characters>2046</Characters>
  <Lines>0</Lines>
  <Paragraphs>0</Paragraphs>
  <TotalTime>0</TotalTime>
  <ScaleCrop>false</ScaleCrop>
  <LinksUpToDate>false</LinksUpToDate>
  <CharactersWithSpaces>2128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2026-01-22T02:25:36Z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