
<file path=[Content_Types].xml><?xml version="1.0" encoding="utf-8"?>
<Types xmlns="http://schemas.openxmlformats.org/package/2006/content-types">
  <Default Extension="xlsx" ContentType="application/vnd.openxmlformats-officedocument.spreadsheetml.sheet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8D5AD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760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5ADD27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4531"/>
      <w:r>
        <w:rPr>
          <w:rFonts w:hint="eastAsia"/>
          <w:lang w:val="en-US" w:eastAsia="zh-CN"/>
        </w:rPr>
        <w:t>运维资源应用情况说明</w:t>
      </w:r>
      <w:bookmarkEnd w:id="1"/>
    </w:p>
    <w:p w14:paraId="3766B4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A620A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05DE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49F8E7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42CFD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60B1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18B3C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370E21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A971C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878FD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38EDE64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FD83C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4270FC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0EC599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59AA33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_Toc16760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_Toc16760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B8D8B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运维资源应用情况说明</w:t>
          </w:r>
          <w:r>
            <w:tab/>
          </w:r>
          <w:r>
            <w:fldChar w:fldCharType="begin"/>
          </w:r>
          <w:r>
            <w:instrText xml:space="preserve"> PAGEREF _Toc24531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96FC9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运维工具应用情况说明</w:t>
          </w:r>
          <w:r>
            <w:tab/>
          </w:r>
          <w:r>
            <w:fldChar w:fldCharType="begin"/>
          </w:r>
          <w:r>
            <w:instrText xml:space="preserve"> PAGEREF _Toc4649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C03C4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过程管理工具</w:t>
          </w:r>
          <w:r>
            <w:tab/>
          </w:r>
          <w:r>
            <w:fldChar w:fldCharType="begin"/>
          </w:r>
          <w:r>
            <w:instrText xml:space="preserve"> PAGEREF _Toc32740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9DA39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软件名称</w:t>
          </w:r>
          <w:r>
            <w:tab/>
          </w:r>
          <w:r>
            <w:fldChar w:fldCharType="begin"/>
          </w:r>
          <w:r>
            <w:instrText xml:space="preserve"> PAGEREF _Toc25007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1AEAF3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1.1.2. </w:t>
          </w:r>
          <w:r>
            <w:rPr>
              <w:rFonts w:hint="eastAsia"/>
              <w:lang w:val="en-US" w:eastAsia="zh-CN"/>
            </w:rPr>
            <w:t>软件来源</w:t>
          </w:r>
          <w:r>
            <w:tab/>
          </w:r>
          <w:r>
            <w:fldChar w:fldCharType="begin"/>
          </w:r>
          <w:r>
            <w:instrText xml:space="preserve"> PAGEREF _Toc20430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F7ECD6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_Toc19869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00CB3F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1.1.4. </w:t>
          </w:r>
          <w:r>
            <w:rPr>
              <w:rFonts w:hint="eastAsia"/>
              <w:lang w:val="en-US" w:eastAsia="zh-CN"/>
            </w:rPr>
            <w:t>功能介绍</w:t>
          </w:r>
          <w:r>
            <w:tab/>
          </w:r>
          <w:r>
            <w:fldChar w:fldCharType="begin"/>
          </w:r>
          <w:r>
            <w:instrText xml:space="preserve"> PAGEREF _Toc13208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CFECC0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监控工具</w:t>
          </w:r>
          <w:r>
            <w:tab/>
          </w:r>
          <w:r>
            <w:fldChar w:fldCharType="begin"/>
          </w:r>
          <w:r>
            <w:instrText xml:space="preserve"> PAGEREF _Toc31648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801F96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软件名称</w:t>
          </w:r>
          <w:r>
            <w:tab/>
          </w:r>
          <w:r>
            <w:fldChar w:fldCharType="begin"/>
          </w:r>
          <w:r>
            <w:instrText xml:space="preserve"> PAGEREF _Toc11539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469E9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软件来源</w:t>
          </w:r>
          <w:r>
            <w:tab/>
          </w:r>
          <w:r>
            <w:fldChar w:fldCharType="begin"/>
          </w:r>
          <w:r>
            <w:instrText xml:space="preserve"> PAGEREF _Toc21960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0DA8FE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_Toc22377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3DFF6D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1.2.4. </w:t>
          </w:r>
          <w:r>
            <w:rPr>
              <w:rFonts w:hint="eastAsia"/>
              <w:lang w:val="en-US" w:eastAsia="zh-CN"/>
            </w:rPr>
            <w:t>功能介绍</w:t>
          </w:r>
          <w:r>
            <w:tab/>
          </w:r>
          <w:r>
            <w:fldChar w:fldCharType="begin"/>
          </w:r>
          <w:r>
            <w:instrText xml:space="preserve"> PAGEREF _Toc1654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7C8FC3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运维工具应用效果</w:t>
          </w:r>
          <w:r>
            <w:tab/>
          </w:r>
          <w:r>
            <w:fldChar w:fldCharType="begin"/>
          </w:r>
          <w:r>
            <w:instrText xml:space="preserve"> PAGEREF _Toc10225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95706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服务台应用情况说明</w:t>
          </w:r>
          <w:r>
            <w:tab/>
          </w:r>
          <w:r>
            <w:fldChar w:fldCharType="begin"/>
          </w:r>
          <w:r>
            <w:instrText xml:space="preserve"> PAGEREF _Toc6222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60F59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备件库应用情况说明</w:t>
          </w:r>
          <w:r>
            <w:tab/>
          </w:r>
          <w:r>
            <w:fldChar w:fldCharType="begin"/>
          </w:r>
          <w:r>
            <w:instrText xml:space="preserve"> PAGEREF _Toc26297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6E432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服务知识应用情况说明</w:t>
          </w:r>
          <w:r>
            <w:tab/>
          </w:r>
          <w:r>
            <w:fldChar w:fldCharType="begin"/>
          </w:r>
          <w:r>
            <w:instrText xml:space="preserve"> PAGEREF _Toc797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4C839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最终软件库应用情况说明</w:t>
          </w:r>
          <w:r>
            <w:tab/>
          </w:r>
          <w:r>
            <w:fldChar w:fldCharType="begin"/>
          </w:r>
          <w:r>
            <w:instrText xml:space="preserve"> PAGEREF _Toc9333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001C5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服务数据应用情况说明</w:t>
          </w:r>
          <w:r>
            <w:tab/>
          </w:r>
          <w:r>
            <w:fldChar w:fldCharType="begin"/>
          </w:r>
          <w:r>
            <w:instrText xml:space="preserve"> PAGEREF _Toc29847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228E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C16B2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FB912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化落实《服务数据管理制度》，提升运维服务数据的治理水平与应用价值，驱动服务能力提升与管理决策科学化，公司自制度发布以来，已全面推进服务数据全生命周期管理体系的建设与实践。截至2025年11月的应用情况说明如下</w:t>
      </w:r>
      <w:r>
        <w:rPr>
          <w:rFonts w:hint="eastAsia"/>
          <w:lang w:val="en-US" w:eastAsia="zh-CN"/>
        </w:rPr>
        <w:t>。</w:t>
      </w:r>
    </w:p>
    <w:p w14:paraId="52A68BD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管理体系构建与职责落地</w:t>
      </w:r>
    </w:p>
    <w:p w14:paraId="7D60AE6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制度与流程确立</w:t>
      </w:r>
    </w:p>
    <w:p w14:paraId="1FC11B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已依据制度要求，建立了覆盖数据“识别采集、存储处理、分析应用、归档销毁”的全周期管理流程与规范，明确了各环节的操作标准与输出物。</w:t>
      </w:r>
    </w:p>
    <w:p w14:paraId="4E02236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跨部门协同机制运行</w:t>
      </w:r>
    </w:p>
    <w:p w14:paraId="085E3A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数智运营部作为归口管理部门，牵头负责数据日常管理、分析应用及报告编制。</w:t>
      </w:r>
    </w:p>
    <w:p w14:paraId="52432D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质量管理部履行监督评审职责，对数据质量及分析结论的有效性进行把关。</w:t>
      </w:r>
    </w:p>
    <w:p w14:paraId="651895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研究总院提供必要的工具与平台技术支持，保障数据管理的技术基础。</w:t>
      </w:r>
    </w:p>
    <w:p w14:paraId="425A1E9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运维工程师等一线角色，负责数据录入、系统维护及基础统计，确保数据源的准确与稳定。</w:t>
      </w:r>
    </w:p>
    <w:p w14:paraId="17D28A4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服务数据管理全流程实施情况</w:t>
      </w:r>
    </w:p>
    <w:p w14:paraId="3DA5067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数据识别与规范化采集</w:t>
      </w:r>
    </w:p>
    <w:p w14:paraId="32CDC5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集范围明确：已系统识别并确定四大类核心服务数据的采集范围，包括：服务交付数据（事件/请求、SLA达成率）、资源监控数据（性能指标、日志）、客户反馈数据（满意度调查）及管理运营数据（工时、知识使用率）。</w:t>
      </w:r>
    </w:p>
    <w:p w14:paraId="0D4AD59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采集机制建立：初步建立了以运维管理系统（如禅道）为主体的自动化采集与人工录入复核相结合的机制，确保关键数据采集的及时性与完整性。</w:t>
      </w:r>
    </w:p>
    <w:p w14:paraId="38DB9F1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数据存储、安全与质量保障</w:t>
      </w:r>
    </w:p>
    <w:p w14:paraId="7D117D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集中化存储：服务数据已实现集中存储于受控的数据库或专用存储中，初步形成结构化数据资产。</w:t>
      </w:r>
    </w:p>
    <w:p w14:paraId="60F6BF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安全管控：依据数据敏感性实施了分级访问控制，关键操作日志完整记录，并已建立月度备份机制，保障数据安全与可恢复性。</w:t>
      </w:r>
    </w:p>
    <w:p w14:paraId="1AC36C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质量治理启动：通过制定数据录入规范与建立定期抽查机制，启动了数据准确性、一致性的初步治理工作。</w:t>
      </w:r>
    </w:p>
    <w:p w14:paraId="09D3A6B4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数据处理、分析与应用深化</w:t>
      </w:r>
    </w:p>
    <w:p w14:paraId="3AC34C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常态化分析机制：已建立季度服务数据定期分析机制。通过对采集数据的清洗、整合与多维度分析（如趋势分析、根本原因分析），已编制并发布《运维服务季度分析报告》共3期。</w:t>
      </w:r>
    </w:p>
    <w:p w14:paraId="4976E6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数据驱动决策实践：分析结果已应用于多个管理场景：</w:t>
      </w:r>
    </w:p>
    <w:p w14:paraId="104E0D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服务报告：作为向管理层及客户汇报SLA达成情况与服务绩效的核心依据。</w:t>
      </w:r>
    </w:p>
    <w:p w14:paraId="7CD242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运营改进：识别了高频事件类型及处理瓶颈，为优化排班、知识库建设及流程简化提供了明确输入。</w:t>
      </w:r>
    </w:p>
    <w:p w14:paraId="648C95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资源规划：利用系统负载与事件趋势数据，辅助进行基础设施容量预估与资源调配决策。</w:t>
      </w:r>
    </w:p>
    <w:p w14:paraId="3B5910C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考核指标达成情况</w:t>
      </w:r>
    </w:p>
    <w:p w14:paraId="0380A3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1430" b="9525"/>
            <wp:docPr id="13" name="图表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FCDF2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制度设定的核心考核指标为“服务数据分析利用次数”，目标为每季度不少于 3次。</w:t>
      </w:r>
    </w:p>
    <w:p w14:paraId="632050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2025年第一季度：围绕SLA达成情况、事件类型分布及处理效率完成数据分析与应用，输出分析报告并用于管理评审，当期有效利用次数为3次。</w:t>
      </w:r>
    </w:p>
    <w:p w14:paraId="67E411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2025年第二季度：针对系统性能趋势、高频问题根因及知识库使用效果进行深入分析，相关结论支撑了资源调配与流程优化决策，当期有效利用次数为3次。</w:t>
      </w:r>
    </w:p>
    <w:p w14:paraId="37108C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2025年第三季度：结合客户满意度调查结果，开展了服务质量关联分析，并完成了运维成本效能的数据洞察，当期有效利用次数为 4次，超额完成目标。</w:t>
      </w:r>
    </w:p>
    <w:p w14:paraId="07BF69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截至2025年11月，本年度累计完成服务数据分析与有效利用10次，各季度均达到或超过考核目标，数据驱动决策与改进的机制已实现常态化、高频次运行。</w:t>
      </w:r>
    </w:p>
    <w:p w14:paraId="2EB01C1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实施成效与后续优化方向</w:t>
      </w:r>
    </w:p>
    <w:p w14:paraId="56153FC4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主要成效</w:t>
      </w:r>
    </w:p>
    <w:p w14:paraId="127AA4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决策科学化提升：管理决策从经验驱动逐步转向“数据+经验”双驱动，决策依据更为客观。</w:t>
      </w:r>
    </w:p>
    <w:p w14:paraId="053F17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服务过程可视化：通过定期报告，使服务状态、质量与效率变得可衡量、可呈现，提升了内外部沟通效率。</w:t>
      </w:r>
    </w:p>
    <w:p w14:paraId="55388F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持续改进闭环：数据分析已成为识别服务短板、触发改进措施（如流程优化、培训需求）的关键输入，推动了服务能力的迭代提升。</w:t>
      </w:r>
    </w:p>
    <w:p w14:paraId="35D07CA7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持续优化方向</w:t>
      </w:r>
      <w:bookmarkStart w:id="2" w:name="_GoBack"/>
      <w:bookmarkEnd w:id="2"/>
    </w:p>
    <w:p w14:paraId="148128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深化分析洞察：计划引入更高级的分析模型（如预测性分析），从“描述现状”向“预测预警”和“处方建议”深化。</w:t>
      </w:r>
    </w:p>
    <w:p w14:paraId="171AFA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提升数据质量与自动化：将进一步优化数据采集源头质量，并探索利用工具实现更多报表的自动化生成，提升效率。</w:t>
      </w:r>
    </w:p>
    <w:p w14:paraId="70871D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扩大数据应用范围：探索将服务数据与财务、项目等数据关联分析，以评估服务投入产出比（ROI），支撑更全面的经营管理。</w:t>
      </w:r>
    </w:p>
    <w:p w14:paraId="1E2923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加强数据文化培育：通过培训与分享，提升全员的数据敏感度和基于数据发现问题、解决问题的能力。</w:t>
      </w:r>
    </w:p>
    <w:p w14:paraId="2A7A5F8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</w:t>
      </w:r>
    </w:p>
    <w:p w14:paraId="39B6D1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体而言，《服务数据管理制度》已得到有效实施，服务数据的管理框架、流程与基础能力已初步构建。数据作为核心资产的价值正通过常态化的分析与应用得以释放，在支撑精准决策、驱动服务优化方面发挥了重要作用。后续，数智运营部将持续完善数据治理体系，深化数据应用场景，充分挖掘数据潜能，为公司的数智化运营与高质量发展提供坚实的数据动力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A8AAF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CA7DE1"/>
    <w:rsid w:val="0C5114BF"/>
    <w:rsid w:val="0E4A266A"/>
    <w:rsid w:val="0F1F150D"/>
    <w:rsid w:val="103F5AD3"/>
    <w:rsid w:val="10FB35BB"/>
    <w:rsid w:val="11AA3420"/>
    <w:rsid w:val="13913395"/>
    <w:rsid w:val="197E141A"/>
    <w:rsid w:val="1BE0460E"/>
    <w:rsid w:val="1E3C1BDD"/>
    <w:rsid w:val="1E413AA8"/>
    <w:rsid w:val="1E667727"/>
    <w:rsid w:val="2CC94E49"/>
    <w:rsid w:val="304946AE"/>
    <w:rsid w:val="35116A32"/>
    <w:rsid w:val="3FAE21A9"/>
    <w:rsid w:val="47FB7F56"/>
    <w:rsid w:val="4CDA19A5"/>
    <w:rsid w:val="50485168"/>
    <w:rsid w:val="51C95B83"/>
    <w:rsid w:val="55D43B94"/>
    <w:rsid w:val="57B40121"/>
    <w:rsid w:val="58ED4416"/>
    <w:rsid w:val="59B25DD6"/>
    <w:rsid w:val="5FFE63DD"/>
    <w:rsid w:val="64155AA4"/>
    <w:rsid w:val="690D143F"/>
    <w:rsid w:val="69A2427D"/>
    <w:rsid w:val="6AB2229E"/>
    <w:rsid w:val="6B451364"/>
    <w:rsid w:val="6F2D6397"/>
    <w:rsid w:val="6F467459"/>
    <w:rsid w:val="72C53404"/>
    <w:rsid w:val="75143E7A"/>
    <w:rsid w:val="7BB765C3"/>
    <w:rsid w:val="7C99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zh-CN" sz="1400" b="1" i="0" u="none" strike="noStrike" kern="1200" baseline="0">
                <a:solidFill>
                  <a:schemeClr val="tx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altLang="zh-CN"/>
              <a:t>2025</a:t>
            </a:r>
            <a:r>
              <a:rPr altLang="en-US"/>
              <a:t>年服务数据分析利用趋势图</a:t>
            </a:r>
            <a:endParaRPr lang="en-US" altLang="zh-CN"/>
          </a:p>
        </c:rich>
      </c:tx>
      <c:layout/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服务数据分析利用次数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Sheet1!$A$2:$A$4</c:f>
              <c:strCache>
                <c:ptCount val="3"/>
                <c:pt idx="0">
                  <c:v>一季度</c:v>
                </c:pt>
                <c:pt idx="1">
                  <c:v>二季度</c:v>
                </c:pt>
                <c:pt idx="2">
                  <c:v>三季度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</c:v>
                </c:pt>
                <c:pt idx="1">
                  <c:v>3</c:v>
                </c:pt>
                <c:pt idx="2">
                  <c:v>4</c:v>
                </c:pt>
              </c:numCache>
            </c:numRef>
          </c: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dropLines>
          <c:spPr>
            <a:ln w="9525" cap="flat" cmpd="sng" algn="ctr">
              <a:solidFill>
                <a:schemeClr val="tx1">
                  <a:lumMod val="35000"/>
                  <a:lumOff val="65000"/>
                </a:schemeClr>
              </a:solidFill>
              <a:round/>
            </a:ln>
            <a:effectLst/>
          </c:spPr>
        </c:dropLines>
        <c:marker val="0"/>
        <c:smooth val="0"/>
        <c:axId val="666549433"/>
        <c:axId val="341988875"/>
      </c:lineChart>
      <c:catAx>
        <c:axId val="666549433"/>
        <c:scaling>
          <c:orientation val="minMax"/>
        </c:scaling>
        <c:delete val="0"/>
        <c:axPos val="b"/>
        <c:title>
          <c:tx>
            <c:rich>
              <a:bodyPr rot="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t>季度</a:t>
                </a:r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41988875"/>
        <c:crosses val="autoZero"/>
        <c:auto val="1"/>
        <c:lblAlgn val="ctr"/>
        <c:lblOffset val="100"/>
        <c:noMultiLvlLbl val="0"/>
      </c:catAx>
      <c:valAx>
        <c:axId val="341988875"/>
        <c:scaling>
          <c:orientation val="minMax"/>
          <c:max val="5"/>
          <c:min val="2.5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0" vertOverflow="ellipsis" vert="horz" wrap="square" anchor="ctr" anchorCtr="1"/>
              <a:lstStyle/>
              <a:p>
                <a:pPr defTabSz="914400">
                  <a:defRPr lang="zh-CN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altLang="en-US"/>
                  <a:t>服务数据分析利用次数</a:t>
                </a:r>
                <a:endParaRPr lang="en-US" altLang="zh-CN"/>
              </a:p>
            </c:rich>
          </c:tx>
          <c:layout/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666549433"/>
        <c:crosses val="autoZero"/>
        <c:crossBetween val="between"/>
        <c:majorUnit val="0.5"/>
      </c:valAx>
      <c:spPr>
        <a:noFill/>
        <a:ln>
          <a:noFill/>
        </a:ln>
        <a:effectLst/>
      </c:spPr>
    </c:plotArea>
    <c:legend>
      <c:legendPos val="r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229612ab-04bc-407b-b1ac-184fe8b0bd8d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2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2024</Words>
  <Characters>2166</Characters>
  <Lines>0</Lines>
  <Paragraphs>0</Paragraphs>
  <TotalTime>19</TotalTime>
  <ScaleCrop>false</ScaleCrop>
  <LinksUpToDate>false</LinksUpToDate>
  <CharactersWithSpaces>2242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2026-01-22T03:00:22Z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