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7BBC99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531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4BC63EF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1784"/>
      <w:r>
        <w:rPr>
          <w:rFonts w:hint="eastAsia"/>
          <w:lang w:val="en-US" w:eastAsia="zh-CN"/>
        </w:rPr>
        <w:t>运维应急管理制度</w:t>
      </w:r>
      <w:bookmarkEnd w:id="1"/>
    </w:p>
    <w:p w14:paraId="1DA5783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8427F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7B89C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230D5E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52875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759F8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17770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5FFE3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886D3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07D0FE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17C54D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B24EB4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6F1E19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5" w:name="_GoBack"/>
      <w:bookmarkEnd w:id="25"/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62FE9E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233C7A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_Toc531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526C5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运维应急管理制度</w:t>
          </w:r>
          <w:r>
            <w:tab/>
          </w:r>
          <w:r>
            <w:fldChar w:fldCharType="begin"/>
          </w:r>
          <w:r>
            <w:instrText xml:space="preserve"> PAGEREF _Toc11784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D7B5E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_Toc11293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_Toc11293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36B01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_Toc1649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373BE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_Toc10855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定义与术语</w:t>
          </w:r>
          <w:r>
            <w:tab/>
          </w:r>
          <w:r>
            <w:fldChar w:fldCharType="begin"/>
          </w:r>
          <w:r>
            <w:instrText xml:space="preserve"> PAGEREF _Toc10855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5F324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_Toc21405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应急管理原则</w:t>
          </w:r>
          <w:r>
            <w:tab/>
          </w:r>
          <w:r>
            <w:fldChar w:fldCharType="begin"/>
          </w:r>
          <w:r>
            <w:instrText xml:space="preserve"> PAGEREF _Toc21405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F9A91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_Toc20196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组织与职责</w:t>
          </w:r>
          <w:r>
            <w:tab/>
          </w:r>
          <w:r>
            <w:fldChar w:fldCharType="begin"/>
          </w:r>
          <w:r>
            <w:instrText xml:space="preserve"> PAGEREF _Toc20196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10071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数智运营部</w:t>
          </w:r>
          <w:r>
            <w:tab/>
          </w:r>
          <w:r>
            <w:fldChar w:fldCharType="begin"/>
          </w:r>
          <w:r>
            <w:instrText xml:space="preserve"> PAGEREF _Toc5575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8FC27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研究总院</w:t>
          </w:r>
          <w:r>
            <w:tab/>
          </w:r>
          <w:r>
            <w:fldChar w:fldCharType="begin"/>
          </w:r>
          <w:r>
            <w:instrText xml:space="preserve"> PAGEREF _Toc32428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72FAC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质量管理部</w:t>
          </w:r>
          <w:r>
            <w:tab/>
          </w:r>
          <w:r>
            <w:fldChar w:fldCharType="begin"/>
          </w:r>
          <w:r>
            <w:instrText xml:space="preserve"> PAGEREF _Toc5187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37103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应急预案管理</w:t>
          </w:r>
          <w:r>
            <w:tab/>
          </w:r>
          <w:r>
            <w:fldChar w:fldCharType="begin"/>
          </w:r>
          <w:r>
            <w:instrText xml:space="preserve"> PAGEREF _Toc2007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22693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_Toc24704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预案制定</w:t>
          </w:r>
          <w:r>
            <w:tab/>
          </w:r>
          <w:r>
            <w:fldChar w:fldCharType="begin"/>
          </w:r>
          <w:r>
            <w:instrText xml:space="preserve"> PAGEREF _Toc24704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BD95E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预案维护</w:t>
          </w:r>
          <w:r>
            <w:tab/>
          </w:r>
          <w:r>
            <w:fldChar w:fldCharType="begin"/>
          </w:r>
          <w:r>
            <w:instrText xml:space="preserve"> PAGEREF _Toc2826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33FBA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_Toc16845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6.3. 预案演练</w:t>
          </w:r>
          <w:r>
            <w:tab/>
          </w:r>
          <w:r>
            <w:fldChar w:fldCharType="begin"/>
          </w:r>
          <w:r>
            <w:instrText xml:space="preserve"> PAGEREF _Toc16845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E4131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应急响应流程</w:t>
          </w:r>
          <w:r>
            <w:tab/>
          </w:r>
          <w:r>
            <w:fldChar w:fldCharType="begin"/>
          </w:r>
          <w:r>
            <w:instrText xml:space="preserve"> PAGEREF _Toc16011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918D9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7.1. 监测与预警</w:t>
          </w:r>
          <w:r>
            <w:tab/>
          </w:r>
          <w:r>
            <w:fldChar w:fldCharType="begin"/>
          </w:r>
          <w:r>
            <w:instrText xml:space="preserve"> PAGEREF _Toc22704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B7A75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7.2. 启动与响应</w:t>
          </w:r>
          <w:r>
            <w:tab/>
          </w:r>
          <w:r>
            <w:fldChar w:fldCharType="begin"/>
          </w:r>
          <w:r>
            <w:instrText xml:space="preserve"> PAGEREF _Toc16086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05943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_Toc32145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7.3. 处置与恢复</w:t>
          </w:r>
          <w:r>
            <w:tab/>
          </w:r>
          <w:r>
            <w:fldChar w:fldCharType="begin"/>
          </w:r>
          <w:r>
            <w:instrText xml:space="preserve"> PAGEREF _Toc32145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9591D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 终止与报告</w:t>
          </w:r>
          <w:r>
            <w:tab/>
          </w:r>
          <w:r>
            <w:fldChar w:fldCharType="begin"/>
          </w:r>
          <w:r>
            <w:instrText xml:space="preserve"> PAGEREF _Toc271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D0E5C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_Toc15865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应急总结与改进</w:t>
          </w:r>
          <w:r>
            <w:tab/>
          </w:r>
          <w:r>
            <w:fldChar w:fldCharType="begin"/>
          </w:r>
          <w:r>
            <w:instrText xml:space="preserve"> PAGEREF _Toc15865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B5334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8.1. 事件复盘</w:t>
          </w:r>
          <w:r>
            <w:tab/>
          </w:r>
          <w:r>
            <w:fldChar w:fldCharType="begin"/>
          </w:r>
          <w:r>
            <w:instrText xml:space="preserve"> PAGEREF _Toc24000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12839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_Toc13512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8.2. 报告编制</w:t>
          </w:r>
          <w:r>
            <w:tab/>
          </w:r>
          <w:r>
            <w:fldChar w:fldCharType="begin"/>
          </w:r>
          <w:r>
            <w:instrText xml:space="preserve"> PAGEREF _Toc13512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40167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8.3. 改进跟踪</w:t>
          </w:r>
          <w:r>
            <w:tab/>
          </w:r>
          <w:r>
            <w:fldChar w:fldCharType="begin"/>
          </w:r>
          <w:r>
            <w:instrText xml:space="preserve"> PAGEREF _Toc7876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0EC35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_Toc7431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资源保障</w:t>
          </w:r>
          <w:r>
            <w:tab/>
          </w:r>
          <w:r>
            <w:fldChar w:fldCharType="begin"/>
          </w:r>
          <w:r>
            <w:instrText xml:space="preserve"> PAGEREF _Toc7431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209B6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 附则</w:t>
          </w:r>
          <w:r>
            <w:tab/>
          </w:r>
          <w:r>
            <w:fldChar w:fldCharType="begin"/>
          </w:r>
          <w:r>
            <w:instrText xml:space="preserve"> PAGEREF _Toc4430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4B1EE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CB7729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7E49C18">
      <w:pPr>
        <w:pStyle w:val="28"/>
        <w:bidi w:val="0"/>
        <w:rPr>
          <w:rFonts w:hint="default"/>
          <w:lang w:val="en-US" w:eastAsia="zh-CN"/>
        </w:rPr>
      </w:pPr>
      <w:bookmarkStart w:id="2" w:name="_Toc11293"/>
      <w:r>
        <w:rPr>
          <w:rFonts w:hint="default"/>
          <w:lang w:val="en-US" w:eastAsia="zh-CN"/>
        </w:rPr>
        <w:t>目的</w:t>
      </w:r>
      <w:bookmarkEnd w:id="2"/>
    </w:p>
    <w:p w14:paraId="3A20D5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健全公司软件运维服务的应急响应机制，规范对突发事件的预防、准备、响应、恢复和总结改进的全过程管理，最大限度地预防和减少突发事件造成的业务影响与损失，保障客户业务连续性，特制定本制度。</w:t>
      </w:r>
    </w:p>
    <w:p w14:paraId="3912013F">
      <w:pPr>
        <w:pStyle w:val="28"/>
        <w:bidi w:val="0"/>
        <w:rPr>
          <w:rFonts w:hint="default"/>
          <w:lang w:val="en-US" w:eastAsia="zh-CN"/>
        </w:rPr>
      </w:pPr>
      <w:bookmarkStart w:id="3" w:name="_Toc1649"/>
      <w:r>
        <w:rPr>
          <w:rFonts w:hint="default"/>
          <w:lang w:val="en-US" w:eastAsia="zh-CN"/>
        </w:rPr>
        <w:t>适用范围</w:t>
      </w:r>
      <w:bookmarkEnd w:id="3"/>
    </w:p>
    <w:p w14:paraId="14C9D5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本制度适用于公司运维服务范围内，因软件系统故障、信息安全事件、数据中心服务中断等突发事件（以下简称“应急事件”）的应急响应管理活动。</w:t>
      </w:r>
    </w:p>
    <w:p w14:paraId="45766CB6">
      <w:pPr>
        <w:pStyle w:val="28"/>
        <w:bidi w:val="0"/>
        <w:rPr>
          <w:rFonts w:hint="default"/>
          <w:lang w:val="en-US" w:eastAsia="zh-CN"/>
        </w:rPr>
      </w:pPr>
      <w:bookmarkStart w:id="4" w:name="_Toc10855"/>
      <w:r>
        <w:rPr>
          <w:rFonts w:hint="default"/>
          <w:lang w:val="en-US" w:eastAsia="zh-CN"/>
        </w:rPr>
        <w:t>定义与术语</w:t>
      </w:r>
      <w:bookmarkEnd w:id="4"/>
    </w:p>
    <w:p w14:paraId="66A0BC0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应急事件：指突发的、对运维服务系统造成或可能造成严重危害，需要立即采取超出常规作业程序的行动进行处置的事件。</w:t>
      </w:r>
    </w:p>
    <w:p w14:paraId="13E444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应急预案：为应对特定类型应急事件而预先制定的行动方案、资源调配和指挥协调程序。</w:t>
      </w:r>
    </w:p>
    <w:p w14:paraId="4F65094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应急管理部</w:t>
      </w:r>
      <w:r>
        <w:rPr>
          <w:rFonts w:hint="default"/>
          <w:lang w:val="en-US" w:eastAsia="zh-CN"/>
        </w:rPr>
        <w:t>：应急响应期间成立的临时指挥机构，负责统一决策与协调。</w:t>
      </w:r>
    </w:p>
    <w:p w14:paraId="7EE8192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业务影响分析（BIA）： 分析应急事件对客户业务功能及SLA可能造成的冲击和影响。</w:t>
      </w:r>
    </w:p>
    <w:p w14:paraId="275AB4DB">
      <w:pPr>
        <w:pStyle w:val="28"/>
        <w:bidi w:val="0"/>
        <w:rPr>
          <w:rFonts w:hint="default"/>
          <w:lang w:val="en-US" w:eastAsia="zh-CN"/>
        </w:rPr>
      </w:pPr>
      <w:bookmarkStart w:id="5" w:name="_Toc21405"/>
      <w:r>
        <w:rPr>
          <w:rFonts w:hint="default"/>
          <w:lang w:val="en-US" w:eastAsia="zh-CN"/>
        </w:rPr>
        <w:t>应急管理原则</w:t>
      </w:r>
      <w:bookmarkEnd w:id="5"/>
    </w:p>
    <w:p w14:paraId="3CDA01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预防为主，常备不懈：加强日常监控、风险评估和预案演练，提升预防能力。</w:t>
      </w:r>
    </w:p>
    <w:p w14:paraId="18A1D7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统一指挥，分级负责：建立清晰的指挥体系，按照事件级别启动相应层级的响应。</w:t>
      </w:r>
    </w:p>
    <w:p w14:paraId="17B205E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快速响应，协同处置：确保信息通畅、决策迅速、各团队协同有效。</w:t>
      </w:r>
    </w:p>
    <w:p w14:paraId="387E25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持续改进，闭环管理：每次应急后必须进行复盘总结，完善预案与流程。</w:t>
      </w:r>
    </w:p>
    <w:p w14:paraId="26A64F32">
      <w:pPr>
        <w:pStyle w:val="28"/>
        <w:bidi w:val="0"/>
        <w:rPr>
          <w:rFonts w:hint="default"/>
          <w:lang w:val="en-US" w:eastAsia="zh-CN"/>
        </w:rPr>
      </w:pPr>
      <w:bookmarkStart w:id="6" w:name="_Toc20196"/>
      <w:r>
        <w:rPr>
          <w:rFonts w:hint="default"/>
          <w:lang w:val="en-US" w:eastAsia="zh-CN"/>
        </w:rPr>
        <w:t>组织与职责</w:t>
      </w:r>
      <w:bookmarkEnd w:id="6"/>
    </w:p>
    <w:p w14:paraId="39CDF747">
      <w:pPr>
        <w:pStyle w:val="30"/>
        <w:bidi w:val="0"/>
        <w:rPr>
          <w:rFonts w:hint="default"/>
          <w:lang w:val="en-US" w:eastAsia="zh-CN"/>
        </w:rPr>
      </w:pPr>
      <w:bookmarkStart w:id="7" w:name="_Toc5575"/>
      <w:r>
        <w:rPr>
          <w:rFonts w:hint="default"/>
          <w:lang w:val="en-US" w:eastAsia="zh-CN"/>
        </w:rPr>
        <w:t>数智运营部</w:t>
      </w:r>
      <w:bookmarkEnd w:id="7"/>
    </w:p>
    <w:p w14:paraId="1393647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负责本制度的制定、修订、宣贯与监督执行。</w:t>
      </w:r>
    </w:p>
    <w:p w14:paraId="6D18EBB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负责组织公司级及重大业务应急预案的编制、评审、更新、演练与维护。</w:t>
      </w:r>
    </w:p>
    <w:p w14:paraId="1C91444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在应急响应期间，负责组建应急指挥组并承担指挥协调中心职能。</w:t>
      </w:r>
    </w:p>
    <w:p w14:paraId="02D8E2E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负责监督应急响应全过程，并组织事后总结、报告编制与改进措施跟踪。</w:t>
      </w:r>
    </w:p>
    <w:p w14:paraId="25BE6D6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负责所辖系统具体应急预案的制定与日常维护。</w:t>
      </w:r>
    </w:p>
    <w:p w14:paraId="61BCCBA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作为一线应急响应的核心执行力量，负责事件的技术排查、故障隔离与系统恢复。</w:t>
      </w:r>
    </w:p>
    <w:p w14:paraId="07B1B72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负责应急期间的技术信息提供与处置过程记录。</w:t>
      </w:r>
    </w:p>
    <w:p w14:paraId="38964EF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服务台（信息枢纽）：</w:t>
      </w:r>
    </w:p>
    <w:p w14:paraId="24D45EC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作为应急事件初始接报的统一入口（依据《服务台管理制度》）。</w:t>
      </w:r>
    </w:p>
    <w:p w14:paraId="0870EEE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负责初步判断、紧急上报，并按照应急指挥组指令，执行客户沟通与状态通报任务。</w:t>
      </w:r>
    </w:p>
    <w:p w14:paraId="0D1D715F">
      <w:pPr>
        <w:pStyle w:val="30"/>
        <w:bidi w:val="0"/>
        <w:rPr>
          <w:rFonts w:hint="default"/>
          <w:lang w:val="en-US" w:eastAsia="zh-CN"/>
        </w:rPr>
      </w:pPr>
      <w:bookmarkStart w:id="8" w:name="_Toc32428"/>
      <w:r>
        <w:rPr>
          <w:rFonts w:hint="default"/>
          <w:lang w:val="en-US" w:eastAsia="zh-CN"/>
        </w:rPr>
        <w:t>研究总院</w:t>
      </w:r>
      <w:bookmarkEnd w:id="8"/>
    </w:p>
    <w:p w14:paraId="3DD0F31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为复杂或重大的技术问题提供专家级支持，参与根因分析。</w:t>
      </w:r>
    </w:p>
    <w:p w14:paraId="1F1FE75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协助验证及提供紧急修复补丁或版本。</w:t>
      </w:r>
    </w:p>
    <w:p w14:paraId="570C6F17">
      <w:pPr>
        <w:pStyle w:val="30"/>
        <w:bidi w:val="0"/>
        <w:rPr>
          <w:rFonts w:hint="default"/>
          <w:lang w:val="en-US" w:eastAsia="zh-CN"/>
        </w:rPr>
      </w:pPr>
      <w:bookmarkStart w:id="9" w:name="_Toc5187"/>
      <w:r>
        <w:rPr>
          <w:rFonts w:hint="default"/>
          <w:lang w:val="en-US" w:eastAsia="zh-CN"/>
        </w:rPr>
        <w:t>质量管理部</w:t>
      </w:r>
      <w:bookmarkEnd w:id="9"/>
    </w:p>
    <w:p w14:paraId="0CFE9DC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参与应急预案的评审，确保其与质量体系要求相符。</w:t>
      </w:r>
    </w:p>
    <w:p w14:paraId="50D5FE1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参与或监督重大应急事件的总结复盘，从质量改进角度提出独立建议。</w:t>
      </w:r>
    </w:p>
    <w:p w14:paraId="73ECFCA0">
      <w:pPr>
        <w:pStyle w:val="28"/>
        <w:bidi w:val="0"/>
        <w:rPr>
          <w:rFonts w:hint="default"/>
          <w:lang w:val="en-US" w:eastAsia="zh-CN"/>
        </w:rPr>
      </w:pPr>
      <w:bookmarkStart w:id="10" w:name="_Toc2007"/>
      <w:r>
        <w:rPr>
          <w:rFonts w:hint="default"/>
          <w:lang w:val="en-US" w:eastAsia="zh-CN"/>
        </w:rPr>
        <w:t>应急预案管理</w:t>
      </w:r>
      <w:bookmarkEnd w:id="10"/>
    </w:p>
    <w:p w14:paraId="6ABBBB11">
      <w:pPr>
        <w:pStyle w:val="30"/>
        <w:bidi w:val="0"/>
        <w:rPr>
          <w:rFonts w:hint="default"/>
          <w:lang w:val="en-US" w:eastAsia="zh-CN"/>
        </w:rPr>
      </w:pPr>
      <w:bookmarkStart w:id="11" w:name="_Toc24704"/>
      <w:r>
        <w:rPr>
          <w:rFonts w:hint="default"/>
          <w:lang w:val="en-US" w:eastAsia="zh-CN"/>
        </w:rPr>
        <w:t>预案制定</w:t>
      </w:r>
      <w:bookmarkEnd w:id="11"/>
    </w:p>
    <w:p w14:paraId="4437D8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应急管理部组织各业务部门，基于业务影响分析（BIA）和风险评估，识别关键业务场景及潜在风险。</w:t>
      </w:r>
    </w:p>
    <w:p w14:paraId="0308A60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针对重大风险，须编制专项《应急预案》。预案内容应包括：事件定义与分级、组织与职责、应急启动条件、处置流程、沟通计划、恢复步骤、资源清单等。</w:t>
      </w:r>
    </w:p>
    <w:p w14:paraId="2A584C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预案需经相关部门会签，并由公司主管领导批准后发布。</w:t>
      </w:r>
    </w:p>
    <w:p w14:paraId="7450C31F">
      <w:pPr>
        <w:pStyle w:val="30"/>
        <w:bidi w:val="0"/>
        <w:rPr>
          <w:rFonts w:hint="default"/>
          <w:lang w:val="en-US" w:eastAsia="zh-CN"/>
        </w:rPr>
      </w:pPr>
      <w:bookmarkStart w:id="12" w:name="_Toc2826"/>
      <w:r>
        <w:rPr>
          <w:rFonts w:hint="default"/>
          <w:lang w:val="en-US" w:eastAsia="zh-CN"/>
        </w:rPr>
        <w:t>预案维护</w:t>
      </w:r>
      <w:bookmarkEnd w:id="12"/>
    </w:p>
    <w:p w14:paraId="5D6C9C2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应急预案实行动态管理。每年至少进行一次系统性评审。</w:t>
      </w:r>
    </w:p>
    <w:p w14:paraId="5F6C51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当出现以下情况时，必须及时启动预案修订：</w:t>
      </w:r>
    </w:p>
    <w:p w14:paraId="0F9935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组织架构、关键人员或联系方式发生重大变更。</w:t>
      </w:r>
    </w:p>
    <w:p w14:paraId="5D33C2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运维的系统、技术架构或业务逻辑发生重大变化。</w:t>
      </w:r>
    </w:p>
    <w:p w14:paraId="4A317FA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法律法规或客户合同要求发生变化。</w:t>
      </w:r>
    </w:p>
    <w:p w14:paraId="7E953B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通过应急演练或实际响应发现预案存在缺陷。</w:t>
      </w:r>
    </w:p>
    <w:p w14:paraId="079DDC52">
      <w:pPr>
        <w:pStyle w:val="30"/>
        <w:bidi w:val="0"/>
        <w:rPr>
          <w:rFonts w:hint="default"/>
          <w:lang w:val="en-US" w:eastAsia="zh-CN"/>
        </w:rPr>
      </w:pPr>
      <w:bookmarkStart w:id="13" w:name="_Toc16845"/>
      <w:r>
        <w:rPr>
          <w:rFonts w:hint="default"/>
          <w:lang w:val="en-US" w:eastAsia="zh-CN"/>
        </w:rPr>
        <w:t>预案演练</w:t>
      </w:r>
      <w:bookmarkEnd w:id="13"/>
    </w:p>
    <w:p w14:paraId="0963D3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应急管理部负责制定年度《应急演练计划》。</w:t>
      </w:r>
    </w:p>
    <w:p w14:paraId="1FDF41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针对核心业务系统应急预案，每年至少组织一次实战演练或桌面推演。</w:t>
      </w:r>
    </w:p>
    <w:p w14:paraId="2C6EDB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演练后须形成《演练总结报告》，评估预案有效性，并记录发现的问题与改进措施。</w:t>
      </w:r>
    </w:p>
    <w:p w14:paraId="0EDE1720">
      <w:pPr>
        <w:pStyle w:val="28"/>
        <w:bidi w:val="0"/>
        <w:rPr>
          <w:rFonts w:hint="default"/>
          <w:lang w:val="en-US" w:eastAsia="zh-CN"/>
        </w:rPr>
      </w:pPr>
      <w:bookmarkStart w:id="14" w:name="_Toc16011"/>
      <w:r>
        <w:rPr>
          <w:rFonts w:hint="default"/>
          <w:lang w:val="en-US" w:eastAsia="zh-CN"/>
        </w:rPr>
        <w:t>应急响应流程</w:t>
      </w:r>
      <w:bookmarkEnd w:id="14"/>
    </w:p>
    <w:p w14:paraId="3AC94265">
      <w:pPr>
        <w:pStyle w:val="30"/>
        <w:bidi w:val="0"/>
        <w:rPr>
          <w:rFonts w:hint="default"/>
          <w:lang w:val="en-US" w:eastAsia="zh-CN"/>
        </w:rPr>
      </w:pPr>
      <w:bookmarkStart w:id="15" w:name="_Toc22704"/>
      <w:r>
        <w:rPr>
          <w:rFonts w:hint="default"/>
          <w:lang w:val="en-US" w:eastAsia="zh-CN"/>
        </w:rPr>
        <w:t>监测与预警</w:t>
      </w:r>
      <w:bookmarkEnd w:id="15"/>
    </w:p>
    <w:p w14:paraId="65A94B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通过运维监控工具、服务台报告等渠道，实时监测系统状态。</w:t>
      </w:r>
    </w:p>
    <w:p w14:paraId="494E157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发现符合应急预案中定义的预警条件时，监测人员应立即按预案规定进行预警通报。</w:t>
      </w:r>
    </w:p>
    <w:p w14:paraId="21361E49">
      <w:pPr>
        <w:pStyle w:val="30"/>
        <w:bidi w:val="0"/>
        <w:rPr>
          <w:rFonts w:hint="default"/>
          <w:lang w:val="en-US" w:eastAsia="zh-CN"/>
        </w:rPr>
      </w:pPr>
      <w:bookmarkStart w:id="16" w:name="_Toc16086"/>
      <w:r>
        <w:rPr>
          <w:rFonts w:hint="default"/>
          <w:lang w:val="en-US" w:eastAsia="zh-CN"/>
        </w:rPr>
        <w:t>启动与响应</w:t>
      </w:r>
      <w:bookmarkEnd w:id="16"/>
    </w:p>
    <w:p w14:paraId="037F2FA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事件上报与确认： 服务台或监控人员确认事件后，立即上报应急管理部及数智运营部经理。</w:t>
      </w:r>
    </w:p>
    <w:p w14:paraId="273B88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定级与启动： 应急管理部会同技术负责人，根据事件影响范围、业务中断时间等因素初步定级，并决定启动相应级别的应急预案。</w:t>
      </w:r>
    </w:p>
    <w:p w14:paraId="7B8507E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成立指挥部： 重大事件（如一级、二级）须立即成立应急指挥部，明确指挥长及各组职责。</w:t>
      </w:r>
    </w:p>
    <w:p w14:paraId="320C6658">
      <w:pPr>
        <w:pStyle w:val="30"/>
        <w:bidi w:val="0"/>
        <w:rPr>
          <w:rFonts w:hint="default"/>
          <w:lang w:val="en-US" w:eastAsia="zh-CN"/>
        </w:rPr>
      </w:pPr>
      <w:bookmarkStart w:id="17" w:name="_Toc32145"/>
      <w:r>
        <w:rPr>
          <w:rFonts w:hint="default"/>
          <w:lang w:val="en-US" w:eastAsia="zh-CN"/>
        </w:rPr>
        <w:t>处置与恢复</w:t>
      </w:r>
      <w:bookmarkEnd w:id="17"/>
    </w:p>
    <w:p w14:paraId="73ABB9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紧急处置： 技术团队按照预案进行故障隔离、系统恢复等操作，优先恢复核心业务。</w:t>
      </w:r>
    </w:p>
    <w:p w14:paraId="25FB6E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沟通通报： 应急指挥部或指定人员（通常由服务台协助）根据沟通计划，定时向客户、管理层通报事件进展。</w:t>
      </w:r>
    </w:p>
    <w:p w14:paraId="1E6A2A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协同联动： 各团队在指挥部统一协调下工作，确保信息同步、行动一致。</w:t>
      </w:r>
    </w:p>
    <w:p w14:paraId="2EE998BF">
      <w:pPr>
        <w:pStyle w:val="30"/>
        <w:bidi w:val="0"/>
        <w:rPr>
          <w:rFonts w:hint="default"/>
          <w:lang w:val="en-US" w:eastAsia="zh-CN"/>
        </w:rPr>
      </w:pPr>
      <w:bookmarkStart w:id="18" w:name="_Toc271"/>
      <w:r>
        <w:rPr>
          <w:rFonts w:hint="default"/>
          <w:lang w:val="en-US" w:eastAsia="zh-CN"/>
        </w:rPr>
        <w:t>终止与报告</w:t>
      </w:r>
      <w:bookmarkEnd w:id="18"/>
    </w:p>
    <w:p w14:paraId="7262C68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响应终止： 事件得到有效控制，系统服务恢复，经评估满足终止条件后，由应急指挥部或授权领导宣布应急响应终止。</w:t>
      </w:r>
    </w:p>
    <w:p w14:paraId="0F3F9C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初步报告： 响应终止后24小时内，技术负责人需提交《应急事件初步报告》，说明事件现象、处置过程及当前状态。</w:t>
      </w:r>
    </w:p>
    <w:p w14:paraId="04B80703">
      <w:pPr>
        <w:pStyle w:val="28"/>
        <w:bidi w:val="0"/>
        <w:rPr>
          <w:rFonts w:hint="default"/>
          <w:lang w:val="en-US" w:eastAsia="zh-CN"/>
        </w:rPr>
      </w:pPr>
      <w:bookmarkStart w:id="19" w:name="_Toc15865"/>
      <w:r>
        <w:rPr>
          <w:rFonts w:hint="default"/>
          <w:lang w:val="en-US" w:eastAsia="zh-CN"/>
        </w:rPr>
        <w:t>应急总结与改进</w:t>
      </w:r>
      <w:bookmarkEnd w:id="19"/>
    </w:p>
    <w:p w14:paraId="5D2C5EED">
      <w:pPr>
        <w:pStyle w:val="30"/>
        <w:bidi w:val="0"/>
        <w:rPr>
          <w:rFonts w:hint="default"/>
          <w:lang w:val="en-US" w:eastAsia="zh-CN"/>
        </w:rPr>
      </w:pPr>
      <w:bookmarkStart w:id="20" w:name="_Toc24000"/>
      <w:r>
        <w:rPr>
          <w:rFonts w:hint="default"/>
          <w:lang w:val="en-US" w:eastAsia="zh-CN"/>
        </w:rPr>
        <w:t>事件复盘</w:t>
      </w:r>
      <w:bookmarkEnd w:id="20"/>
    </w:p>
    <w:p w14:paraId="7D32B97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应急响应终止后5个工作日内，应急管理部必须组织一次事件复盘会议。</w:t>
      </w:r>
    </w:p>
    <w:p w14:paraId="57423F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参与人员应包括应急处置相关各方。复盘需采用根本原因分析法，重点分析事件原因、响应过程的不足及预案的适用性。</w:t>
      </w:r>
    </w:p>
    <w:p w14:paraId="17B572B8">
      <w:pPr>
        <w:pStyle w:val="30"/>
        <w:bidi w:val="0"/>
        <w:rPr>
          <w:rFonts w:hint="default"/>
          <w:lang w:val="en-US" w:eastAsia="zh-CN"/>
        </w:rPr>
      </w:pPr>
      <w:bookmarkStart w:id="21" w:name="_Toc13512"/>
      <w:r>
        <w:rPr>
          <w:rFonts w:hint="default"/>
          <w:lang w:val="en-US" w:eastAsia="zh-CN"/>
        </w:rPr>
        <w:t>报告编制</w:t>
      </w:r>
      <w:bookmarkEnd w:id="21"/>
    </w:p>
    <w:p w14:paraId="7A983B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复盘会后3个工作日内，由应急管理部牵头编制正式的《应急响应总结报告》。</w:t>
      </w:r>
    </w:p>
    <w:p w14:paraId="343DE0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报告内容应包括：事件概述、影响分析、时间线追溯、根本原因、处置过程评估、经验教训、改进措施建议。</w:t>
      </w:r>
    </w:p>
    <w:p w14:paraId="23E1649B">
      <w:pPr>
        <w:pStyle w:val="30"/>
        <w:bidi w:val="0"/>
        <w:rPr>
          <w:rFonts w:hint="default"/>
          <w:lang w:val="en-US" w:eastAsia="zh-CN"/>
        </w:rPr>
      </w:pPr>
      <w:bookmarkStart w:id="22" w:name="_Toc7876"/>
      <w:r>
        <w:rPr>
          <w:rFonts w:hint="default"/>
          <w:lang w:val="en-US" w:eastAsia="zh-CN"/>
        </w:rPr>
        <w:t>改进跟踪</w:t>
      </w:r>
      <w:bookmarkEnd w:id="22"/>
    </w:p>
    <w:p w14:paraId="680E8C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报告中的改进措施应明确责任部门与完成时限，并纳入公司统一的改进跟踪体系（如录入《服务改进措施表》）。</w:t>
      </w:r>
    </w:p>
    <w:p w14:paraId="4F40F77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应急管理部负责跟踪改进措施的落实，直至闭环。重大改进措施应触发相关预案和制度的修订。</w:t>
      </w:r>
    </w:p>
    <w:p w14:paraId="4091B468">
      <w:pPr>
        <w:pStyle w:val="28"/>
        <w:bidi w:val="0"/>
        <w:rPr>
          <w:rFonts w:hint="default"/>
          <w:lang w:val="en-US" w:eastAsia="zh-CN"/>
        </w:rPr>
      </w:pPr>
      <w:bookmarkStart w:id="23" w:name="_Toc7431"/>
      <w:r>
        <w:rPr>
          <w:rFonts w:hint="default"/>
          <w:lang w:val="en-US" w:eastAsia="zh-CN"/>
        </w:rPr>
        <w:t>资源保障</w:t>
      </w:r>
      <w:bookmarkEnd w:id="23"/>
    </w:p>
    <w:p w14:paraId="7EBBE8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人员保障：建立应急专家与技术人员名录，确保联络畅通。</w:t>
      </w:r>
    </w:p>
    <w:p w14:paraId="75E1B5B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工具保障：确保应急所需的运维工具、监控平台、通讯工具在应急期间可用（参照《运维服务工具管理制度》）。</w:t>
      </w:r>
    </w:p>
    <w:p w14:paraId="072BFE6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知识保障：应急案例及解决方案应及时总结，纳入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（参照《服务知识管理制度》），供未来参考。</w:t>
      </w:r>
    </w:p>
    <w:p w14:paraId="2070A073">
      <w:pPr>
        <w:pStyle w:val="28"/>
        <w:bidi w:val="0"/>
        <w:rPr>
          <w:rFonts w:hint="default"/>
          <w:lang w:val="en-US" w:eastAsia="zh-CN"/>
        </w:rPr>
      </w:pPr>
      <w:bookmarkStart w:id="24" w:name="_Toc4430"/>
      <w:r>
        <w:rPr>
          <w:rFonts w:hint="default"/>
          <w:lang w:val="en-US" w:eastAsia="zh-CN"/>
        </w:rPr>
        <w:t>附则</w:t>
      </w:r>
      <w:bookmarkEnd w:id="24"/>
    </w:p>
    <w:p w14:paraId="3CB8B28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本制度自发布之日起执行，由应急管理部负责解释与修订。本制度与《服务台管理制度》、《服务交付管理制度》等配套执行。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8619D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AB16819"/>
    <w:rsid w:val="0F2778A0"/>
    <w:rsid w:val="151C16C7"/>
    <w:rsid w:val="183028D1"/>
    <w:rsid w:val="1ABA46D4"/>
    <w:rsid w:val="20E24984"/>
    <w:rsid w:val="21D00C81"/>
    <w:rsid w:val="2ABB2FF2"/>
    <w:rsid w:val="31975317"/>
    <w:rsid w:val="41B643F6"/>
    <w:rsid w:val="514A5AAA"/>
    <w:rsid w:val="5E313793"/>
    <w:rsid w:val="6E8421A4"/>
    <w:rsid w:val="7D561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2390</Words>
  <Characters>2502</Characters>
  <Lines>0</Lines>
  <Paragraphs>0</Paragraphs>
  <TotalTime>0</TotalTime>
  <ScaleCrop>false</ScaleCrop>
  <LinksUpToDate>false</LinksUpToDate>
  <CharactersWithSpaces>2609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2026-01-16T19:24:44Z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