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ascii="黑体" w:eastAsia="黑体" w:hAnsi="宋体"/>
          <w:sz w:val="36"/>
          <w:szCs w:val="44"/>
        </w:rPr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黑体" w:eastAsia="黑体" w:hAnsi="宋体"/>
          <w:sz w:val="52"/>
          <w:szCs w:val="44"/>
        </w:rPr>
      </w:pPr>
      <w:r>
        <w:rPr>
          <w:rFonts w:ascii="黑体" w:eastAsia="黑体" w:hAnsi="宋体" w:hint="eastAsia"/>
          <w:sz w:val="52"/>
          <w:szCs w:val="44"/>
        </w:rPr>
        <w:t xml:space="preserve">晋  来  办 </w:t>
      </w:r>
      <w:r>
        <w:rPr>
          <w:rFonts w:ascii="黑体" w:eastAsia="黑体" w:hAnsi="宋体"/>
          <w:sz w:val="52"/>
          <w:szCs w:val="44"/>
        </w:rPr>
        <w:t xml:space="preserve"> </w:t>
      </w:r>
      <w:r>
        <w:rPr>
          <w:rFonts w:ascii="黑体" w:eastAsia="黑体" w:hAnsi="宋体" w:hint="eastAsia"/>
          <w:sz w:val="52"/>
          <w:szCs w:val="44"/>
        </w:rPr>
        <w:t xml:space="preserve">平 </w:t>
      </w:r>
      <w:r>
        <w:rPr>
          <w:rFonts w:ascii="黑体" w:eastAsia="黑体" w:hAnsi="宋体"/>
          <w:sz w:val="52"/>
          <w:szCs w:val="44"/>
        </w:rPr>
        <w:t xml:space="preserve"> </w:t>
      </w:r>
      <w:r>
        <w:rPr>
          <w:rFonts w:ascii="黑体" w:eastAsia="黑体" w:hAnsi="宋体" w:hint="eastAsia"/>
          <w:sz w:val="52"/>
          <w:szCs w:val="44"/>
        </w:rPr>
        <w:t>台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黑体" w:eastAsia="黑体" w:hAnsi="宋体"/>
          <w:sz w:val="52"/>
          <w:szCs w:val="44"/>
        </w:rPr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黑体" w:eastAsia="黑体" w:hAnsi="宋体"/>
          <w:sz w:val="52"/>
          <w:szCs w:val="44"/>
        </w:rPr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黑体" w:eastAsia="黑体" w:hAnsi="宋体"/>
          <w:sz w:val="52"/>
          <w:szCs w:val="44"/>
        </w:rPr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黑体" w:eastAsia="黑体" w:hAnsi="宋体"/>
          <w:sz w:val="52"/>
          <w:szCs w:val="44"/>
        </w:rPr>
      </w:pPr>
      <w:r>
        <w:rPr>
          <w:rFonts w:ascii="黑体" w:eastAsia="黑体" w:hAnsi="宋体" w:hint="eastAsia"/>
          <w:sz w:val="52"/>
          <w:szCs w:val="44"/>
        </w:rPr>
        <w:t>应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黑体" w:eastAsia="黑体" w:hAnsi="宋体"/>
          <w:sz w:val="52"/>
          <w:szCs w:val="44"/>
        </w:rPr>
      </w:pPr>
      <w:r>
        <w:rPr>
          <w:rFonts w:ascii="黑体" w:eastAsia="黑体" w:hAnsi="宋体" w:hint="eastAsia"/>
          <w:sz w:val="52"/>
          <w:szCs w:val="44"/>
        </w:rPr>
        <w:t>急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黑体" w:eastAsia="黑体" w:hAnsi="宋体" w:hint="eastAsia"/>
          <w:sz w:val="52"/>
          <w:szCs w:val="44"/>
          <w:lang w:val="en-US" w:eastAsia="zh-CN"/>
        </w:rPr>
      </w:pPr>
      <w:r>
        <w:rPr>
          <w:rFonts w:ascii="黑体" w:eastAsia="黑体" w:hAnsi="宋体" w:hint="eastAsia"/>
          <w:sz w:val="52"/>
          <w:szCs w:val="44"/>
          <w:lang w:val="en-US" w:eastAsia="zh-CN"/>
        </w:rPr>
        <w:t>演</w:t>
      </w:r>
      <w:bookmarkStart w:id="0" w:name="_GoBack"/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-4312920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黑体" w:eastAsia="黑体" w:hAnsi="宋体" w:hint="eastAsia"/>
          <w:sz w:val="52"/>
          <w:szCs w:val="44"/>
          <w:lang w:val="en-US" w:eastAsia="zh-CN"/>
        </w:rPr>
      </w:pPr>
      <w:r>
        <w:rPr>
          <w:rFonts w:ascii="黑体" w:eastAsia="黑体" w:hAnsi="宋体" w:hint="eastAsia"/>
          <w:sz w:val="52"/>
          <w:szCs w:val="44"/>
          <w:lang w:val="en-US" w:eastAsia="zh-CN"/>
        </w:rPr>
        <w:t>练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黑体" w:eastAsia="黑体" w:hAnsi="宋体" w:hint="eastAsia"/>
          <w:sz w:val="52"/>
          <w:szCs w:val="44"/>
          <w:lang w:val="en-US" w:eastAsia="zh-CN"/>
        </w:rPr>
      </w:pPr>
      <w:r>
        <w:rPr>
          <w:rFonts w:ascii="黑体" w:eastAsia="黑体" w:hAnsi="宋体" w:hint="eastAsia"/>
          <w:sz w:val="52"/>
          <w:szCs w:val="44"/>
          <w:lang w:val="en-US" w:eastAsia="zh-CN"/>
        </w:rPr>
        <w:t>计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黑体" w:eastAsia="黑体" w:hAnsi="宋体"/>
          <w:sz w:val="36"/>
          <w:szCs w:val="44"/>
        </w:rPr>
      </w:pPr>
      <w:r>
        <w:rPr>
          <w:rFonts w:ascii="黑体" w:eastAsia="黑体" w:hAnsi="宋体" w:hint="eastAsia"/>
          <w:sz w:val="52"/>
          <w:szCs w:val="44"/>
          <w:lang w:val="en-US" w:eastAsia="zh-CN"/>
        </w:rPr>
        <w:t>划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黑体" w:eastAsia="黑体" w:hAnsi="宋体"/>
          <w:sz w:val="36"/>
          <w:szCs w:val="44"/>
        </w:rPr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黑体" w:eastAsia="黑体" w:hAnsi="宋体"/>
          <w:sz w:val="36"/>
          <w:szCs w:val="44"/>
        </w:rPr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黑体" w:eastAsia="黑体" w:hAnsi="宋体"/>
          <w:sz w:val="36"/>
          <w:szCs w:val="44"/>
        </w:rPr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center"/>
        <w:textAlignment w:val="baseline"/>
        <w:rPr>
          <w:rFonts w:ascii="黑体" w:eastAsia="黑体" w:hAnsi="宋体"/>
          <w:sz w:val="36"/>
          <w:szCs w:val="44"/>
        </w:rPr>
      </w:pPr>
      <w:r>
        <w:rPr>
          <w:rFonts w:ascii="黑体" w:eastAsia="黑体" w:hAnsi="宋体"/>
          <w:sz w:val="36"/>
          <w:szCs w:val="44"/>
        </w:rPr>
        <w:t>202</w:t>
      </w:r>
      <w:r>
        <w:rPr>
          <w:rFonts w:ascii="黑体" w:eastAsia="黑体" w:hAnsi="宋体" w:hint="eastAsia"/>
          <w:sz w:val="36"/>
          <w:szCs w:val="44"/>
          <w:lang w:val="en-US" w:eastAsia="zh-CN"/>
        </w:rPr>
        <w:t>5</w:t>
      </w:r>
      <w:r>
        <w:rPr>
          <w:rFonts w:ascii="黑体" w:eastAsia="黑体" w:hAnsi="宋体" w:hint="eastAsia"/>
          <w:sz w:val="36"/>
          <w:szCs w:val="44"/>
        </w:rPr>
        <w:t>年</w:t>
      </w:r>
      <w:r>
        <w:rPr>
          <w:rFonts w:ascii="黑体" w:eastAsia="黑体" w:hAnsi="宋体" w:hint="eastAsia"/>
          <w:sz w:val="36"/>
          <w:szCs w:val="44"/>
          <w:lang w:val="en-US" w:eastAsia="zh-CN"/>
        </w:rPr>
        <w:t>8</w:t>
      </w:r>
      <w:r>
        <w:rPr>
          <w:rFonts w:ascii="黑体" w:eastAsia="黑体" w:hAnsi="宋体" w:hint="eastAsia"/>
          <w:sz w:val="36"/>
          <w:szCs w:val="44"/>
        </w:rPr>
        <w:t>月</w:t>
      </w:r>
      <w:r>
        <w:rPr>
          <w:rFonts w:ascii="黑体" w:eastAsia="黑体" w:hAnsi="宋体" w:hint="eastAsia"/>
          <w:sz w:val="36"/>
          <w:szCs w:val="44"/>
          <w:lang w:val="en-US" w:eastAsia="zh-CN"/>
        </w:rPr>
        <w:t>27</w:t>
      </w:r>
      <w:r>
        <w:rPr>
          <w:rFonts w:ascii="黑体" w:eastAsia="黑体" w:hAnsi="宋体" w:hint="eastAsia"/>
          <w:sz w:val="36"/>
          <w:szCs w:val="44"/>
        </w:rPr>
        <w:t>日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textAlignment w:val="baseline"/>
        <w:rPr>
          <w:rFonts w:ascii="楷体_GB2312" w:eastAsia="楷体_GB2312"/>
          <w:b/>
          <w:sz w:val="32"/>
          <w:szCs w:val="28"/>
        </w:rPr>
        <w:sectPr>
          <w:headerReference w:type="first" r:id="rId6"/>
          <w:footerReference w:type="first" r:id="rId7"/>
          <w:pgSz w:w="11906" w:h="16838"/>
          <w:pgMar w:top="1440" w:right="1800" w:bottom="1440" w:left="1800" w:header="851" w:footer="992" w:gutter="0"/>
          <w:pgNumType w:start="1"/>
          <w:cols w:num="1" w:space="720"/>
          <w:titlePg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tabs>
          <w:tab w:val="left" w:pos="1340"/>
          <w:tab w:val="center" w:pos="4153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jc w:val="left"/>
        <w:textAlignment w:val="baseline"/>
        <w:rPr>
          <w:rFonts w:ascii="宋体" w:hAnsi="宋体"/>
          <w:bCs/>
          <w:sz w:val="32"/>
          <w:szCs w:val="28"/>
        </w:rPr>
      </w:pPr>
      <w:r>
        <w:rPr>
          <w:rFonts w:ascii="宋体" w:hAnsi="宋体"/>
          <w:bCs/>
          <w:sz w:val="32"/>
          <w:szCs w:val="28"/>
        </w:rPr>
        <w:tab/>
      </w:r>
      <w:r>
        <w:rPr>
          <w:rFonts w:ascii="宋体" w:hAnsi="宋体"/>
          <w:bCs/>
          <w:sz w:val="32"/>
          <w:szCs w:val="28"/>
        </w:rPr>
        <w:tab/>
      </w:r>
      <w:r>
        <w:rPr>
          <w:rFonts w:ascii="宋体" w:hAnsi="宋体" w:hint="eastAsia"/>
          <w:bCs/>
          <w:sz w:val="32"/>
          <w:szCs w:val="28"/>
        </w:rPr>
        <w:t>目 录</w:t>
      </w:r>
    </w:p>
    <w:p>
      <w:pPr>
        <w:pStyle w:val="TOC1"/>
        <w:tabs>
          <w:tab w:val="right" w:leader="dot" w:pos="8306"/>
        </w:tabs>
      </w:pPr>
      <w:r>
        <w:rPr>
          <w:rFonts w:ascii="楷体_GB2312" w:eastAsia="楷体_GB2312" w:hAnsi="宋体"/>
          <w:sz w:val="22"/>
          <w:szCs w:val="21"/>
        </w:rPr>
        <w:fldChar w:fldCharType="begin"/>
      </w:r>
      <w:r>
        <w:rPr>
          <w:rFonts w:ascii="楷体_GB2312" w:eastAsia="楷体_GB2312" w:hAnsi="宋体"/>
          <w:sz w:val="22"/>
          <w:szCs w:val="21"/>
        </w:rPr>
        <w:instrText xml:space="preserve">TOC \o "1-1" \h \u </w:instrText>
      </w:r>
      <w:r>
        <w:rPr>
          <w:rFonts w:ascii="楷体_GB2312" w:eastAsia="楷体_GB2312" w:hAnsi="宋体"/>
          <w:sz w:val="22"/>
          <w:szCs w:val="21"/>
        </w:rPr>
        <w:fldChar w:fldCharType="separate"/>
      </w:r>
      <w:r>
        <w:rPr>
          <w:rFonts w:ascii="楷体_GB2312" w:eastAsia="楷体_GB2312" w:hAnsi="宋体"/>
          <w:szCs w:val="21"/>
        </w:rPr>
        <w:fldChar w:fldCharType="begin"/>
      </w:r>
      <w:r>
        <w:rPr>
          <w:rFonts w:ascii="楷体_GB2312" w:eastAsia="楷体_GB2312" w:hAnsi="宋体"/>
          <w:szCs w:val="21"/>
        </w:rPr>
        <w:instrText xml:space="preserve"> HYPERLINK \l _Toc27805 </w:instrText>
      </w:r>
      <w:r>
        <w:rPr>
          <w:rFonts w:ascii="楷体_GB2312" w:eastAsia="楷体_GB2312" w:hAnsi="宋体"/>
          <w:szCs w:val="21"/>
        </w:rPr>
        <w:fldChar w:fldCharType="separate"/>
      </w:r>
      <w:r>
        <w:rPr>
          <w:rFonts w:hint="default"/>
        </w:rPr>
        <w:t xml:space="preserve">1. </w:t>
      </w:r>
      <w:r>
        <w:rPr>
          <w:rFonts w:hint="eastAsia"/>
        </w:rPr>
        <w:t>演练目的</w:t>
      </w:r>
      <w:r>
        <w:tab/>
      </w:r>
      <w:r>
        <w:fldChar w:fldCharType="begin"/>
      </w:r>
      <w:r>
        <w:instrText xml:space="preserve"> PAGEREF _Toc27805 \h </w:instrText>
      </w:r>
      <w:r>
        <w:fldChar w:fldCharType="separate"/>
      </w:r>
      <w:r>
        <w:t>1</w:t>
      </w:r>
      <w:r>
        <w:fldChar w:fldCharType="end"/>
      </w:r>
      <w:r>
        <w:rPr>
          <w:rFonts w:ascii="楷体_GB2312" w:eastAsia="楷体_GB2312" w:hAnsi="宋体"/>
          <w:szCs w:val="21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楷体_GB2312" w:eastAsia="楷体_GB2312" w:hAnsi="宋体"/>
          <w:bCs/>
          <w:szCs w:val="21"/>
        </w:rPr>
        <w:fldChar w:fldCharType="begin"/>
      </w:r>
      <w:r>
        <w:rPr>
          <w:rFonts w:ascii="楷体_GB2312" w:eastAsia="楷体_GB2312" w:hAnsi="宋体"/>
          <w:bCs/>
          <w:szCs w:val="21"/>
        </w:rPr>
        <w:instrText xml:space="preserve"> HYPERLINK \l _Toc5999 </w:instrText>
      </w:r>
      <w:r>
        <w:rPr>
          <w:rFonts w:ascii="楷体_GB2312" w:eastAsia="楷体_GB2312" w:hAnsi="宋体"/>
          <w:bCs/>
          <w:szCs w:val="21"/>
        </w:rPr>
        <w:fldChar w:fldCharType="separate"/>
      </w:r>
      <w:r>
        <w:rPr>
          <w:rFonts w:hint="default"/>
        </w:rPr>
        <w:t xml:space="preserve">2. </w:t>
      </w:r>
      <w:r>
        <w:rPr>
          <w:rFonts w:hint="eastAsia"/>
        </w:rPr>
        <w:t>演练范围与场景</w:t>
      </w:r>
      <w:r>
        <w:tab/>
      </w:r>
      <w:r>
        <w:fldChar w:fldCharType="begin"/>
      </w:r>
      <w:r>
        <w:instrText xml:space="preserve"> PAGEREF _Toc5999 \h </w:instrText>
      </w:r>
      <w:r>
        <w:fldChar w:fldCharType="separate"/>
      </w:r>
      <w:r>
        <w:t>1</w:t>
      </w:r>
      <w:r>
        <w:fldChar w:fldCharType="end"/>
      </w:r>
      <w:r>
        <w:rPr>
          <w:rFonts w:ascii="楷体_GB2312" w:eastAsia="楷体_GB2312" w:hAnsi="宋体"/>
          <w:bCs/>
          <w:szCs w:val="21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楷体_GB2312" w:eastAsia="楷体_GB2312" w:hAnsi="宋体"/>
          <w:bCs/>
          <w:szCs w:val="21"/>
        </w:rPr>
        <w:fldChar w:fldCharType="begin"/>
      </w:r>
      <w:r>
        <w:rPr>
          <w:rFonts w:ascii="楷体_GB2312" w:eastAsia="楷体_GB2312" w:hAnsi="宋体"/>
          <w:bCs/>
          <w:szCs w:val="21"/>
        </w:rPr>
        <w:instrText xml:space="preserve"> HYPERLINK \l _Toc14661 </w:instrText>
      </w:r>
      <w:r>
        <w:rPr>
          <w:rFonts w:ascii="楷体_GB2312" w:eastAsia="楷体_GB2312" w:hAnsi="宋体"/>
          <w:bCs/>
          <w:szCs w:val="21"/>
        </w:rPr>
        <w:fldChar w:fldCharType="separate"/>
      </w:r>
      <w:r>
        <w:rPr>
          <w:rFonts w:hint="default"/>
        </w:rPr>
        <w:t xml:space="preserve">3. </w:t>
      </w:r>
      <w:r>
        <w:rPr>
          <w:rFonts w:hint="eastAsia"/>
        </w:rPr>
        <w:t>演练方式与时间</w:t>
      </w:r>
      <w:r>
        <w:tab/>
      </w:r>
      <w:r>
        <w:fldChar w:fldCharType="begin"/>
      </w:r>
      <w:r>
        <w:instrText xml:space="preserve"> PAGEREF _Toc14661 \h </w:instrText>
      </w:r>
      <w:r>
        <w:fldChar w:fldCharType="separate"/>
      </w:r>
      <w:r>
        <w:t>2</w:t>
      </w:r>
      <w:r>
        <w:fldChar w:fldCharType="end"/>
      </w:r>
      <w:r>
        <w:rPr>
          <w:rFonts w:ascii="楷体_GB2312" w:eastAsia="楷体_GB2312" w:hAnsi="宋体"/>
          <w:bCs/>
          <w:szCs w:val="21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楷体_GB2312" w:eastAsia="楷体_GB2312" w:hAnsi="宋体"/>
          <w:bCs/>
          <w:szCs w:val="21"/>
        </w:rPr>
        <w:fldChar w:fldCharType="begin"/>
      </w:r>
      <w:r>
        <w:rPr>
          <w:rFonts w:ascii="楷体_GB2312" w:eastAsia="楷体_GB2312" w:hAnsi="宋体"/>
          <w:bCs/>
          <w:szCs w:val="21"/>
        </w:rPr>
        <w:instrText xml:space="preserve"> HYPERLINK \l _Toc30099 </w:instrText>
      </w:r>
      <w:r>
        <w:rPr>
          <w:rFonts w:ascii="楷体_GB2312" w:eastAsia="楷体_GB2312" w:hAnsi="宋体"/>
          <w:bCs/>
          <w:szCs w:val="21"/>
        </w:rPr>
        <w:fldChar w:fldCharType="separate"/>
      </w:r>
      <w:r>
        <w:rPr>
          <w:rFonts w:hint="default"/>
          <w:lang w:val="en-US" w:eastAsia="zh-CN"/>
        </w:rPr>
        <w:t xml:space="preserve">4. </w:t>
      </w:r>
      <w:r>
        <w:rPr>
          <w:rFonts w:hint="eastAsia"/>
          <w:lang w:val="en-US" w:eastAsia="zh-CN"/>
        </w:rPr>
        <w:t>参与人员及职责</w:t>
      </w:r>
      <w:r>
        <w:tab/>
      </w:r>
      <w:r>
        <w:fldChar w:fldCharType="begin"/>
      </w:r>
      <w:r>
        <w:instrText xml:space="preserve"> PAGEREF _Toc30099 \h </w:instrText>
      </w:r>
      <w:r>
        <w:fldChar w:fldCharType="separate"/>
      </w:r>
      <w:r>
        <w:t>2</w:t>
      </w:r>
      <w:r>
        <w:fldChar w:fldCharType="end"/>
      </w:r>
      <w:r>
        <w:rPr>
          <w:rFonts w:ascii="楷体_GB2312" w:eastAsia="楷体_GB2312" w:hAnsi="宋体"/>
          <w:bCs/>
          <w:szCs w:val="21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楷体_GB2312" w:eastAsia="楷体_GB2312" w:hAnsi="宋体"/>
          <w:bCs/>
          <w:szCs w:val="21"/>
        </w:rPr>
        <w:fldChar w:fldCharType="begin"/>
      </w:r>
      <w:r>
        <w:rPr>
          <w:rFonts w:ascii="楷体_GB2312" w:eastAsia="楷体_GB2312" w:hAnsi="宋体"/>
          <w:bCs/>
          <w:szCs w:val="21"/>
        </w:rPr>
        <w:instrText xml:space="preserve"> HYPERLINK \l _Toc296 </w:instrText>
      </w:r>
      <w:r>
        <w:rPr>
          <w:rFonts w:ascii="楷体_GB2312" w:eastAsia="楷体_GB2312" w:hAnsi="宋体"/>
          <w:bCs/>
          <w:szCs w:val="21"/>
        </w:rPr>
        <w:fldChar w:fldCharType="separate"/>
      </w:r>
      <w:r>
        <w:rPr>
          <w:rFonts w:hint="default"/>
          <w:lang w:val="en-US" w:eastAsia="zh-CN"/>
        </w:rPr>
        <w:t>5. 演练阶段与议程</w:t>
      </w:r>
      <w:r>
        <w:tab/>
      </w:r>
      <w:r>
        <w:fldChar w:fldCharType="begin"/>
      </w:r>
      <w:r>
        <w:instrText xml:space="preserve"> PAGEREF _Toc296 \h </w:instrText>
      </w:r>
      <w:r>
        <w:fldChar w:fldCharType="separate"/>
      </w:r>
      <w:r>
        <w:t>2</w:t>
      </w:r>
      <w:r>
        <w:fldChar w:fldCharType="end"/>
      </w:r>
      <w:r>
        <w:rPr>
          <w:rFonts w:ascii="楷体_GB2312" w:eastAsia="楷体_GB2312" w:hAnsi="宋体"/>
          <w:bCs/>
          <w:szCs w:val="21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楷体_GB2312" w:eastAsia="楷体_GB2312" w:hAnsi="宋体"/>
          <w:bCs/>
          <w:szCs w:val="21"/>
        </w:rPr>
        <w:fldChar w:fldCharType="begin"/>
      </w:r>
      <w:r>
        <w:rPr>
          <w:rFonts w:ascii="楷体_GB2312" w:eastAsia="楷体_GB2312" w:hAnsi="宋体"/>
          <w:bCs/>
          <w:szCs w:val="21"/>
        </w:rPr>
        <w:instrText xml:space="preserve"> HYPERLINK \l _Toc27423 </w:instrText>
      </w:r>
      <w:r>
        <w:rPr>
          <w:rFonts w:ascii="楷体_GB2312" w:eastAsia="楷体_GB2312" w:hAnsi="宋体"/>
          <w:bCs/>
          <w:szCs w:val="21"/>
        </w:rPr>
        <w:fldChar w:fldCharType="separate"/>
      </w:r>
      <w:r>
        <w:rPr>
          <w:rFonts w:hint="default"/>
          <w:lang w:val="en-US" w:eastAsia="zh-CN"/>
        </w:rPr>
        <w:t>6. 成功标准</w:t>
      </w:r>
      <w:r>
        <w:tab/>
      </w:r>
      <w:r>
        <w:fldChar w:fldCharType="begin"/>
      </w:r>
      <w:r>
        <w:instrText xml:space="preserve"> PAGEREF _Toc27423 \h </w:instrText>
      </w:r>
      <w:r>
        <w:fldChar w:fldCharType="separate"/>
      </w:r>
      <w:r>
        <w:t>3</w:t>
      </w:r>
      <w:r>
        <w:fldChar w:fldCharType="end"/>
      </w:r>
      <w:r>
        <w:rPr>
          <w:rFonts w:ascii="楷体_GB2312" w:eastAsia="楷体_GB2312" w:hAnsi="宋体"/>
          <w:bCs/>
          <w:szCs w:val="21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楷体_GB2312" w:eastAsia="楷体_GB2312" w:hAnsi="宋体"/>
          <w:bCs/>
          <w:szCs w:val="21"/>
        </w:rPr>
        <w:fldChar w:fldCharType="begin"/>
      </w:r>
      <w:r>
        <w:rPr>
          <w:rFonts w:ascii="楷体_GB2312" w:eastAsia="楷体_GB2312" w:hAnsi="宋体"/>
          <w:bCs/>
          <w:szCs w:val="21"/>
        </w:rPr>
        <w:instrText xml:space="preserve"> HYPERLINK \l _Toc23686 </w:instrText>
      </w:r>
      <w:r>
        <w:rPr>
          <w:rFonts w:ascii="楷体_GB2312" w:eastAsia="楷体_GB2312" w:hAnsi="宋体"/>
          <w:bCs/>
          <w:szCs w:val="21"/>
        </w:rPr>
        <w:fldChar w:fldCharType="separate"/>
      </w:r>
      <w:r>
        <w:rPr>
          <w:rFonts w:hint="default"/>
          <w:lang w:val="en-US" w:eastAsia="zh-CN"/>
        </w:rPr>
        <w:t>7. 准备工作与资源需求</w:t>
      </w:r>
      <w:r>
        <w:tab/>
      </w:r>
      <w:r>
        <w:fldChar w:fldCharType="begin"/>
      </w:r>
      <w:r>
        <w:instrText xml:space="preserve"> PAGEREF _Toc23686 \h </w:instrText>
      </w:r>
      <w:r>
        <w:fldChar w:fldCharType="separate"/>
      </w:r>
      <w:r>
        <w:t>3</w:t>
      </w:r>
      <w:r>
        <w:fldChar w:fldCharType="end"/>
      </w:r>
      <w:r>
        <w:rPr>
          <w:rFonts w:ascii="楷体_GB2312" w:eastAsia="楷体_GB2312" w:hAnsi="宋体"/>
          <w:bCs/>
          <w:szCs w:val="21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楷体_GB2312" w:eastAsia="楷体_GB2312" w:hAnsi="宋体"/>
          <w:bCs/>
          <w:szCs w:val="21"/>
        </w:rPr>
        <w:fldChar w:fldCharType="begin"/>
      </w:r>
      <w:r>
        <w:rPr>
          <w:rFonts w:ascii="楷体_GB2312" w:eastAsia="楷体_GB2312" w:hAnsi="宋体"/>
          <w:bCs/>
          <w:szCs w:val="21"/>
        </w:rPr>
        <w:instrText xml:space="preserve"> HYPERLINK \l _Toc14877 </w:instrText>
      </w:r>
      <w:r>
        <w:rPr>
          <w:rFonts w:ascii="楷体_GB2312" w:eastAsia="楷体_GB2312" w:hAnsi="宋体"/>
          <w:bCs/>
          <w:szCs w:val="21"/>
        </w:rPr>
        <w:fldChar w:fldCharType="separate"/>
      </w:r>
      <w:r>
        <w:rPr>
          <w:rFonts w:hint="default"/>
          <w:lang w:val="en-US" w:eastAsia="zh-CN"/>
        </w:rPr>
        <w:t>8. 风险控制与注意事项</w:t>
      </w:r>
      <w:r>
        <w:tab/>
      </w:r>
      <w:r>
        <w:fldChar w:fldCharType="begin"/>
      </w:r>
      <w:r>
        <w:instrText xml:space="preserve"> PAGEREF _Toc14877 \h </w:instrText>
      </w:r>
      <w:r>
        <w:fldChar w:fldCharType="separate"/>
      </w:r>
      <w:r>
        <w:t>4</w:t>
      </w:r>
      <w:r>
        <w:fldChar w:fldCharType="end"/>
      </w:r>
      <w:r>
        <w:rPr>
          <w:rFonts w:ascii="楷体_GB2312" w:eastAsia="楷体_GB2312" w:hAnsi="宋体"/>
          <w:bCs/>
          <w:szCs w:val="21"/>
        </w:rP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ascii="楷体_GB2312" w:eastAsia="楷体_GB2312" w:hAnsi="宋体"/>
          <w:bCs/>
          <w:sz w:val="22"/>
          <w:szCs w:val="21"/>
        </w:rPr>
        <w:sectPr>
          <w:pgSz w:w="11906" w:h="16838"/>
          <w:pgMar w:top="1440" w:right="1800" w:bottom="1440" w:left="1800" w:header="851" w:footer="992" w:gutter="0"/>
          <w:pgNumType w:start="1"/>
          <w:cols w:num="1" w:space="720"/>
          <w:titlePg/>
          <w:docGrid w:type="lines" w:linePitch="312" w:charSpace="0"/>
        </w:sectPr>
      </w:pPr>
      <w:r>
        <w:rPr>
          <w:rFonts w:ascii="楷体_GB2312" w:eastAsia="楷体_GB2312" w:hAnsi="宋体"/>
          <w:bCs/>
          <w:szCs w:val="21"/>
        </w:rPr>
        <w:fldChar w:fldCharType="end"/>
      </w:r>
    </w:p>
    <w:p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" w:name="_Toc27805"/>
      <w:r>
        <w:rPr>
          <w:rFonts w:hint="eastAsia"/>
        </w:rPr>
        <w:t>演练目的</w:t>
      </w:r>
      <w:bookmarkEnd w:id="1"/>
    </w:p>
    <w:p>
      <w:pPr>
        <w:pStyle w:val="a7"/>
        <w:bidi w:val="0"/>
        <w:rPr>
          <w:rFonts w:hint="eastAsia"/>
        </w:rPr>
      </w:pPr>
      <w:r>
        <w:rPr>
          <w:rFonts w:hint="eastAsia"/>
        </w:rPr>
        <w:t>检验流程有效性：实战检验预案中定义的应急指挥、信息流转、故障诊断与处理的整套流程是否顺畅、高效。</w:t>
      </w:r>
    </w:p>
    <w:p>
      <w:pPr>
        <w:pStyle w:val="a7"/>
        <w:bidi w:val="0"/>
        <w:rPr>
          <w:rFonts w:hint="eastAsia"/>
        </w:rPr>
      </w:pPr>
      <w:r>
        <w:rPr>
          <w:rFonts w:hint="eastAsia"/>
        </w:rPr>
        <w:t>锻炼团队协同能力：强化应急指挥部与各技术小组之间，以及各小组内部的沟通、协作与联合处置能力。</w:t>
      </w:r>
    </w:p>
    <w:p>
      <w:pPr>
        <w:pStyle w:val="a7"/>
        <w:bidi w:val="0"/>
        <w:rPr>
          <w:rFonts w:hint="eastAsia"/>
        </w:rPr>
      </w:pPr>
      <w:r>
        <w:rPr>
          <w:rFonts w:hint="eastAsia"/>
        </w:rPr>
        <w:t>评估人员技能水平：评估关键岗位人员在压力下的技术判断、决策执行与问题解决能力。</w:t>
      </w:r>
    </w:p>
    <w:p>
      <w:pPr>
        <w:pStyle w:val="a7"/>
        <w:bidi w:val="0"/>
        <w:rPr>
          <w:rFonts w:hint="eastAsia"/>
        </w:rPr>
      </w:pPr>
      <w:r>
        <w:rPr>
          <w:rFonts w:hint="eastAsia"/>
        </w:rPr>
        <w:t>完善应急保障体系：识别现有预案和流程中的潜在不足，为后续优化提供实践依据，持续提升平台业务连续性保障水平。</w:t>
      </w:r>
    </w:p>
    <w:p>
      <w:pPr>
        <w:pStyle w:val="a7"/>
        <w:bidi w:val="0"/>
        <w:rPr>
          <w:rFonts w:hint="eastAsia"/>
        </w:rPr>
      </w:pPr>
      <w:r>
        <w:rPr>
          <w:rFonts w:hint="eastAsia"/>
        </w:rPr>
        <w:t>满足合规性要求：生成完整的演练记录与报告，作为ITSS信息技术服务认证中“事件管理”与“业务连续性管理”过程的关键证据。</w:t>
      </w:r>
    </w:p>
    <w:p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" w:name="_Toc5999"/>
      <w:r>
        <w:rPr>
          <w:rFonts w:hint="eastAsia"/>
        </w:rPr>
        <w:t>演练范围与场景</w:t>
      </w:r>
      <w:bookmarkEnd w:id="2"/>
    </w:p>
    <w:p>
      <w:pPr>
        <w:pStyle w:val="22"/>
        <w:bidi w:val="0"/>
        <w:rPr>
          <w:rFonts w:hint="eastAsia"/>
        </w:rPr>
      </w:pPr>
      <w:r>
        <w:rPr>
          <w:rFonts w:hint="eastAsia"/>
        </w:rPr>
        <w:t>演练范围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系统范围：“晋来办”APP前端访问、后端核心应用服务及相关中间件。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组织范围：应急预案中定义的全部组别，包括指挥组、技术支撑组、网络及云平台保障组、平台运维组。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流程范围：覆盖事件上报、预案启动、信息沟通、诊断排查、决策指挥、故障恢复、事后复盘的全生命周期。</w:t>
      </w:r>
    </w:p>
    <w:p>
      <w:pPr>
        <w:pStyle w:val="22"/>
        <w:bidi w:val="0"/>
        <w:rPr>
          <w:rFonts w:hint="eastAsia"/>
        </w:rPr>
      </w:pPr>
      <w:r>
        <w:rPr>
          <w:rFonts w:hint="eastAsia"/>
        </w:rPr>
        <w:t>演练场景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本次演练设定为单一性、技术类故障场景，具体内容如下：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场景名称：“晋来办”APP核心服务异常（模拟软件故障事件）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场景描述：模拟在业务平峰期，“晋来办”APP主要页面及核心业务接口持续返回“500 - 内部服务器错误”，导致大量用户无法正常使用APP功能。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场景选择理由：该场景复杂度适中，涉及应用诊断、日志分析、中间件检查等多项标准运维操作，能有效检验技术支撑组与平台运维组的应急能力，且对真实业务影响风险可控。</w:t>
      </w:r>
    </w:p>
    <w:p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3" w:name="_Toc14661"/>
      <w:r>
        <w:rPr>
          <w:rFonts w:hint="eastAsia"/>
        </w:rPr>
        <w:t>演练方式与时间</w:t>
      </w:r>
      <w:bookmarkEnd w:id="3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演练方式：模拟实战演练。通过在测试环境或低风险时段制造模拟故障，检验真实应急响应过程。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计划日期：2025年</w:t>
      </w:r>
      <w:r>
        <w:rPr>
          <w:rFonts w:ascii="宋体" w:hAnsi="宋体" w:hint="eastAsia"/>
          <w:color w:val="000000"/>
          <w:sz w:val="24"/>
          <w:szCs w:val="24"/>
          <w:lang w:val="en-US" w:eastAsia="zh-CN"/>
        </w:rPr>
        <w:t>8</w:t>
      </w:r>
      <w:r>
        <w:rPr>
          <w:rFonts w:ascii="宋体" w:hAnsi="宋体" w:hint="eastAsia"/>
          <w:color w:val="000000"/>
          <w:sz w:val="24"/>
          <w:szCs w:val="24"/>
        </w:rPr>
        <w:t>月</w:t>
      </w:r>
      <w:r>
        <w:rPr>
          <w:rFonts w:ascii="宋体" w:hAnsi="宋体" w:hint="eastAsia"/>
          <w:color w:val="000000"/>
          <w:sz w:val="24"/>
          <w:szCs w:val="24"/>
          <w:lang w:val="en-US" w:eastAsia="zh-CN"/>
        </w:rPr>
        <w:t>27</w:t>
      </w:r>
      <w:r>
        <w:rPr>
          <w:rFonts w:ascii="宋体" w:hAnsi="宋体" w:hint="eastAsia"/>
          <w:color w:val="000000"/>
          <w:sz w:val="24"/>
          <w:szCs w:val="24"/>
        </w:rPr>
        <w:t>日（星期</w:t>
      </w:r>
      <w:r>
        <w:rPr>
          <w:rFonts w:ascii="宋体" w:hAnsi="宋体" w:hint="eastAsia"/>
          <w:color w:val="000000"/>
          <w:sz w:val="24"/>
          <w:szCs w:val="24"/>
          <w:lang w:val="en-US" w:eastAsia="zh-CN"/>
        </w:rPr>
        <w:t>三</w:t>
      </w:r>
      <w:r>
        <w:rPr>
          <w:rFonts w:ascii="宋体" w:hAnsi="宋体" w:hint="eastAsia"/>
          <w:color w:val="000000"/>
          <w:sz w:val="24"/>
          <w:szCs w:val="24"/>
        </w:rPr>
        <w:t>）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计划时间：14:00 - 16:00 （总时长2小时）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left"/>
        <w:textAlignment w:val="baseline"/>
        <w:rPr>
          <w:rFonts w:ascii="宋体" w:hAnsi="宋体" w:hint="eastAsia"/>
          <w:color w:val="000000"/>
          <w:sz w:val="24"/>
          <w:szCs w:val="24"/>
        </w:rPr>
      </w:pPr>
      <w:r>
        <w:rPr>
          <w:rFonts w:ascii="宋体" w:hAnsi="宋体" w:hint="eastAsia"/>
          <w:color w:val="000000"/>
          <w:sz w:val="24"/>
          <w:szCs w:val="24"/>
        </w:rPr>
        <w:t>时长控制：确保在2小时内完成从故障发生到服务恢复的全流程，并留有简要复盘时间。</w:t>
      </w:r>
    </w:p>
    <w:p>
      <w:pPr>
        <w:pStyle w:val="12"/>
        <w:bidi w:val="0"/>
        <w:rPr>
          <w:rFonts w:hint="default"/>
          <w:lang w:val="en-US" w:eastAsia="zh-CN"/>
        </w:rPr>
      </w:pPr>
      <w:bookmarkStart w:id="4" w:name="_Toc30099"/>
      <w:r>
        <w:rPr>
          <w:rFonts w:hint="eastAsia"/>
          <w:lang w:val="en-US" w:eastAsia="zh-CN"/>
        </w:rPr>
        <w:t>参与人员及职责</w:t>
      </w:r>
      <w:bookmarkEnd w:id="4"/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1820"/>
        <w:gridCol w:w="3740"/>
        <w:gridCol w:w="93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组别</w:t>
            </w:r>
          </w:p>
        </w:tc>
        <w:tc>
          <w:tcPr>
            <w:tcW w:w="1820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参与人员</w:t>
            </w:r>
          </w:p>
        </w:tc>
        <w:tc>
          <w:tcPr>
            <w:tcW w:w="3740" w:type="dxa"/>
          </w:tcPr>
          <w:p>
            <w:pPr>
              <w:pStyle w:val="a7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主要职责</w:t>
            </w:r>
          </w:p>
        </w:tc>
        <w:tc>
          <w:tcPr>
            <w:tcW w:w="930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指挥组</w:t>
            </w:r>
          </w:p>
        </w:tc>
        <w:tc>
          <w:tcPr>
            <w:tcW w:w="1820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景建波（组长）</w:t>
            </w:r>
          </w:p>
        </w:tc>
        <w:tc>
          <w:tcPr>
            <w:tcW w:w="3740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总体指挥决策，授权预案启动与终止，负责对外/对上沟通。</w:t>
            </w:r>
          </w:p>
        </w:tc>
        <w:tc>
          <w:tcPr>
            <w:tcW w:w="930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技术支撑组</w:t>
            </w:r>
          </w:p>
        </w:tc>
        <w:tc>
          <w:tcPr>
            <w:tcW w:w="1820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阴俊杰（组长）胡炜</w:t>
            </w:r>
          </w:p>
        </w:tc>
        <w:tc>
          <w:tcPr>
            <w:tcW w:w="3740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负责技术研判，协调诊断工作，主导故障定位与修复方案制定。</w:t>
            </w:r>
          </w:p>
        </w:tc>
        <w:tc>
          <w:tcPr>
            <w:tcW w:w="930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网络及云平台保障组</w:t>
            </w:r>
          </w:p>
        </w:tc>
        <w:tc>
          <w:tcPr>
            <w:tcW w:w="1820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翟福民（组长）李佳宇</w:t>
            </w:r>
          </w:p>
        </w:tc>
        <w:tc>
          <w:tcPr>
            <w:tcW w:w="3740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负责网络连通性、云平台资源、安全攻击行为进行快速排查与确认</w:t>
            </w:r>
          </w:p>
        </w:tc>
        <w:tc>
          <w:tcPr>
            <w:tcW w:w="930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平台运维组</w:t>
            </w:r>
          </w:p>
        </w:tc>
        <w:tc>
          <w:tcPr>
            <w:tcW w:w="1820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续雁能（组长）张泽宽</w:t>
            </w:r>
          </w:p>
        </w:tc>
        <w:tc>
          <w:tcPr>
            <w:tcW w:w="3740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负责应用服务、中间件、数据库的日志分析、状态检查及具体修复操作</w:t>
            </w:r>
          </w:p>
        </w:tc>
        <w:tc>
          <w:tcPr>
            <w:tcW w:w="930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观察记录组</w:t>
            </w:r>
          </w:p>
        </w:tc>
        <w:tc>
          <w:tcPr>
            <w:tcW w:w="1820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数智运营部1-2人</w:t>
            </w:r>
          </w:p>
        </w:tc>
        <w:tc>
          <w:tcPr>
            <w:tcW w:w="3740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负责全程记录演练时间线、关键对话、决策点及存在的问题，不参与实际操作</w:t>
            </w:r>
          </w:p>
        </w:tc>
        <w:tc>
          <w:tcPr>
            <w:tcW w:w="930" w:type="dxa"/>
          </w:tcPr>
          <w:p>
            <w:pPr>
              <w:pStyle w:val="a7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pStyle w:val="12"/>
        <w:bidi w:val="0"/>
        <w:rPr>
          <w:rFonts w:hint="default"/>
          <w:lang w:val="en-US" w:eastAsia="zh-CN"/>
        </w:rPr>
      </w:pPr>
      <w:bookmarkStart w:id="5" w:name="_Toc296"/>
      <w:r>
        <w:rPr>
          <w:rFonts w:hint="default"/>
          <w:lang w:val="en-US" w:eastAsia="zh-CN"/>
        </w:rPr>
        <w:t>演练阶段与议程</w:t>
      </w:r>
      <w:bookmarkEnd w:id="5"/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第一阶段：演练准备与启动 (14:00 - 14:10)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14:00 - 14:05：全体参演人员在线集结，演练总指挥（数智运营部</w:t>
      </w:r>
      <w:r>
        <w:rPr>
          <w:rFonts w:hint="default"/>
          <w:lang w:val="en-US" w:eastAsia="zh-CN"/>
        </w:rPr>
        <w:t>经理）宣读演练目标、场景及注意事项。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14:05 - 14:10：指挥组宣布演练开始，模拟事件注入。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第二阶段：应急响应与处置 (14:10 - 15:10)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严格按照《应急预案》流程执行：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事件发现与上报。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预案启动与指挥建立。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技术支撑组协调，网络组与平台运维组并行开展诊断。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故障定位、方案制定与实施。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服务恢复验证。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第三阶段：演练终止与复盘 (15:10 - 15:50)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15:10 - 15:15：指挥组确认演练目标达成，宣布演练终止。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15:15 - 15:50：全体参演人员召开复盘会，各小组汇报执行情况，观察员反馈记录，共同讨论待改进点。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第四阶段：报告编制与改进 (演练结束后3个工作日内)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由观察记录组负责编制《应急演练报告》，包括演练过程、评估结果及改进计划，报数智运营经理审批。</w:t>
      </w:r>
    </w:p>
    <w:p>
      <w:pPr>
        <w:pStyle w:val="12"/>
        <w:bidi w:val="0"/>
        <w:rPr>
          <w:rFonts w:hint="default"/>
          <w:lang w:val="en-US" w:eastAsia="zh-CN"/>
        </w:rPr>
      </w:pPr>
      <w:bookmarkStart w:id="6" w:name="_Toc27423"/>
      <w:r>
        <w:rPr>
          <w:rFonts w:hint="default"/>
          <w:lang w:val="en-US" w:eastAsia="zh-CN"/>
        </w:rPr>
        <w:t>成功标准</w:t>
      </w:r>
      <w:bookmarkEnd w:id="6"/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本次演练成功的衡量标准包括：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流程标准：应急响应流程被正确触发并执行，关键节点无遗漏。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时效标准：从事件上报到预案启动时间不超过5分钟；故障定位时间不超过30分钟。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沟通标准：信息流转顺畅，关键决策与状态变化在应急群内得到及时通报。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技术标准：能够准确诊断出模拟故障的根本原因，并执行有效的恢复操作。</w:t>
      </w:r>
    </w:p>
    <w:p>
      <w:pPr>
        <w:pStyle w:val="12"/>
        <w:bidi w:val="0"/>
        <w:rPr>
          <w:rFonts w:hint="default"/>
          <w:lang w:val="en-US" w:eastAsia="zh-CN"/>
        </w:rPr>
      </w:pPr>
      <w:bookmarkStart w:id="7" w:name="_Toc23686"/>
      <w:r>
        <w:rPr>
          <w:rFonts w:hint="default"/>
          <w:lang w:val="en-US" w:eastAsia="zh-CN"/>
        </w:rPr>
        <w:t>准备工作与资源需求</w:t>
      </w:r>
      <w:bookmarkEnd w:id="7"/>
    </w:p>
    <w:p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资源需求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权限：确保各小组在演练期间拥有所需系统的监控、日志查看与操作权限。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环境：确保演练所使用的监控平台、运维工具处于正常状态。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沟通：建立专用的应急演练即时通讯群（如企业微信群）。</w:t>
      </w:r>
    </w:p>
    <w:p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准备工作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提前3个工作日将本计划发送至全体参演人员。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提前与数据局指挥组进行最终沟通与确认。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观察记录组提前熟悉记录模板。</w:t>
      </w:r>
    </w:p>
    <w:p>
      <w:pPr>
        <w:pStyle w:val="12"/>
        <w:bidi w:val="0"/>
        <w:rPr>
          <w:rFonts w:hint="default"/>
          <w:lang w:val="en-US" w:eastAsia="zh-CN"/>
        </w:rPr>
      </w:pPr>
      <w:bookmarkStart w:id="8" w:name="_Toc14877"/>
      <w:r>
        <w:rPr>
          <w:rFonts w:hint="default"/>
          <w:lang w:val="en-US" w:eastAsia="zh-CN"/>
        </w:rPr>
        <w:t>风险控制与注意事项</w:t>
      </w:r>
      <w:bookmarkEnd w:id="8"/>
    </w:p>
    <w:p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风险控制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所有修复操作需在确认是模拟演练的前提下进行，严禁对生产环境造成实质性影响。设置“安全词”，一旦出现意外情况可立即中止演练。</w:t>
      </w:r>
    </w:p>
    <w:p>
      <w:pPr>
        <w:pStyle w:val="2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注意事项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参演人员需严肃对待，将演练视为真实事件。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注意沟通纪律，所有指令与通报应在指定群组中进行。</w:t>
      </w:r>
    </w:p>
    <w:p>
      <w:pPr>
        <w:pStyle w:val="a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演练结束后，确保所有为演练而设置的模拟状态已完全清除。</w:t>
      </w:r>
    </w:p>
    <w:sectPr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pgNumType w:start="1"/>
      <w:cols w:num="1" w:space="720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G Times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right="360"/>
      <w:jc w:val="cent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</w:pPr>
                <w:r>
                  <w:t xml:space="preserve">—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12</w:t>
                </w:r>
                <w:r>
                  <w:fldChar w:fldCharType="end"/>
                </w:r>
                <w:r>
                  <w:t xml:space="preserve"> —</w:t>
                </w:r>
              </w:p>
            </w:txbxContent>
          </v:textbox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o:spid="_x0000_s2050" type="#_x0000_t202" style="height:2in;margin-left:0;margin-top:0;mso-height-relative:page;mso-position-horizontal:center;mso-position-horizontal-relative:margin;mso-width-relative:page;mso-wrap-style:none;position:absolute;width:2in;z-index:251659264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</w:pPr>
                <w:r>
                  <w:t xml:space="preserve">—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—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right="84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rPr>
        <w:rFonts w:hint="eastAsia"/>
      </w:rPr>
      <w:t>“晋来办”应急预案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</w:pPr>
    <w:r>
      <w:rPr>
        <w:rFonts w:hint="eastAsia"/>
      </w:rPr>
      <w:t>“晋来办”应急</w:t>
    </w:r>
    <w:r>
      <w:rPr>
        <w:rFonts w:hint="eastAsia"/>
        <w:lang w:val="en-US" w:eastAsia="zh-CN"/>
      </w:rPr>
      <w:t>计划</w:t>
    </w:r>
    <w:r>
      <w:rPr>
        <w:rFonts w:hint="eastAsia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Y0ZGIwMWEzNmQ0NGU5ZWVlYTNjZTRlODg1NTJiMmUifQ=="/>
  </w:docVars>
  <m:mathPr>
    <m:mathFont m:val="Cambria Math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semiHidden="0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semiHidden="0" w:uiPriority="0" w:unhideWhenUsed="0"/>
    <w:lsdException w:name="macro" w:uiPriority="0"/>
    <w:lsdException w:name="toa heading" w:uiPriority="0"/>
    <w:lsdException w:name="List" w:semiHidden="0" w:uiPriority="0" w:unhideWhenUsed="0"/>
    <w:lsdException w:name="List Bullet" w:semiHidden="0" w:uiPriority="0" w:unhideWhenUsed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0" w:unhideWhenUsed="0" w:qFormat="1"/>
    <w:lsdException w:name="Closing" w:uiPriority="0"/>
    <w:lsdException w:name="Signature" w:uiPriority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 w:qFormat="1"/>
    <w:lsdException w:name="List Continue" w:uiPriority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uiPriority="0"/>
    <w:lsdException w:name="Subtitle" w:semiHidden="0" w:uiPriority="0" w:unhideWhenUsed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Body Text 2" w:uiPriority="0"/>
    <w:lsdException w:name="Body Text 3" w:uiPriority="0"/>
    <w:lsdException w:name="Body Text Indent 2" w:uiPriority="0"/>
    <w:lsdException w:name="Body Text Indent 3" w:semiHidden="0" w:uiPriority="0" w:unhideWhenUsed="0" w:qFormat="1"/>
    <w:lsdException w:name="Block Text" w:uiPriority="0"/>
    <w:lsdException w:name="Hyperlink" w:semiHidden="0" w:uiPriority="0" w:unhideWhenUsed="0" w:qFormat="1"/>
    <w:lsdException w:name="FollowedHyperlink" w:uiPriority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 w:qFormat="1"/>
    <w:lsdException w:name="Plain Text" w:semiHidden="0" w:uiPriority="0" w:unhideWhenUsed="0" w:qFormat="1"/>
    <w:lsdException w:name="E-mail Signature" w:uiPriority="0"/>
    <w:lsdException w:name="Normal (Web)" w:semiHidden="0" w:uiPriority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semiHidden="0" w:uiPriority="0" w:unhideWhenUsed="0" w:qFormat="1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link w:val="2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a"/>
    <w:qFormat/>
    <w:pPr>
      <w:shd w:val="clear" w:color="auto" w:fill="000080"/>
    </w:pPr>
  </w:style>
  <w:style w:type="paragraph" w:styleId="CommentText">
    <w:name w:val="annotation text"/>
    <w:basedOn w:val="Normal"/>
    <w:link w:val="a3"/>
    <w:qFormat/>
    <w:pPr>
      <w:jc w:val="left"/>
    </w:pPr>
  </w:style>
  <w:style w:type="paragraph" w:styleId="BodyText">
    <w:name w:val="Body Text"/>
    <w:basedOn w:val="Normal"/>
    <w:link w:val="a1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BodyTextIndent">
    <w:name w:val="Body Text Indent"/>
    <w:basedOn w:val="Normal"/>
    <w:link w:val="a0"/>
    <w:qFormat/>
    <w:pPr>
      <w:spacing w:after="120" w:afterLines="0" w:afterAutospacing="0"/>
      <w:ind w:left="420" w:leftChars="200"/>
    </w:p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PlainText">
    <w:name w:val="Plain Text"/>
    <w:basedOn w:val="Normal"/>
    <w:qFormat/>
    <w:rPr>
      <w:rFonts w:ascii="宋体" w:hAnsi="Courier New"/>
    </w:rPr>
  </w:style>
  <w:style w:type="paragraph" w:styleId="BalloonText">
    <w:name w:val="Balloon Text"/>
    <w:basedOn w:val="Normal"/>
    <w:link w:val="a2"/>
    <w:qFormat/>
    <w:rPr>
      <w:sz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BodyTextIndent3">
    <w:name w:val="Body Text Indent 3"/>
    <w:basedOn w:val="Normal"/>
    <w:qFormat/>
    <w:pPr>
      <w:spacing w:after="120" w:afterLines="0" w:afterAutospacing="0"/>
      <w:ind w:left="420" w:leftChars="200"/>
    </w:pPr>
    <w:rPr>
      <w:sz w:val="16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CommentSubject">
    <w:name w:val="annotation subject"/>
    <w:basedOn w:val="CommentText"/>
    <w:next w:val="CommentText"/>
    <w:link w:val="a4"/>
    <w:qFormat/>
    <w:rPr>
      <w:b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PageNumber">
    <w:name w:val="page number"/>
    <w:basedOn w:val="DefaultParagraphFont"/>
    <w:qFormat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CommentReference">
    <w:name w:val="annotation reference"/>
    <w:basedOn w:val="DefaultParagraphFont"/>
    <w:qFormat/>
    <w:rPr>
      <w:sz w:val="21"/>
    </w:rPr>
  </w:style>
  <w:style w:type="character" w:customStyle="1" w:styleId="2">
    <w:name w:val="标题 2 字符"/>
    <w:link w:val="Heading2"/>
    <w:qFormat/>
    <w:rPr>
      <w:rFonts w:ascii="Arial" w:eastAsia="黑体" w:hAnsi="Arial"/>
      <w:b/>
      <w:sz w:val="32"/>
    </w:rPr>
  </w:style>
  <w:style w:type="character" w:customStyle="1" w:styleId="074Char">
    <w:name w:val="标书正文:  0.74 厘米 Char"/>
    <w:link w:val="074"/>
    <w:qFormat/>
    <w:rPr>
      <w:rFonts w:eastAsia="宋体" w:cs="宋体"/>
      <w:kern w:val="2"/>
      <w:sz w:val="24"/>
      <w:lang w:val="en-US" w:eastAsia="zh-CN" w:bidi="ar-SA"/>
    </w:rPr>
  </w:style>
  <w:style w:type="paragraph" w:customStyle="1" w:styleId="074">
    <w:name w:val="标书正文:  0.74 厘米"/>
    <w:basedOn w:val="Normal"/>
    <w:link w:val="074Char"/>
    <w:qFormat/>
    <w:pPr>
      <w:snapToGrid w:val="0"/>
      <w:spacing w:line="360" w:lineRule="auto"/>
      <w:ind w:firstLine="420"/>
    </w:pPr>
    <w:rPr>
      <w:rFonts w:ascii="Times New Roman" w:hAnsi="Times New Roman" w:cs="宋体"/>
      <w:sz w:val="24"/>
      <w:szCs w:val="20"/>
    </w:rPr>
  </w:style>
  <w:style w:type="character" w:customStyle="1" w:styleId="2Char">
    <w:name w:val="正文（首行缩进2字符） Char"/>
    <w:link w:val="20"/>
    <w:qFormat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20">
    <w:name w:val="正文（首行缩进2字符）"/>
    <w:basedOn w:val="Normal"/>
    <w:link w:val="2Char"/>
    <w:qFormat/>
    <w:pPr>
      <w:spacing w:line="360" w:lineRule="auto"/>
      <w:ind w:firstLine="480" w:firstLineChars="200"/>
    </w:pPr>
    <w:rPr>
      <w:rFonts w:ascii="Times New Roman" w:hAnsi="Times New Roman"/>
      <w:sz w:val="24"/>
      <w:szCs w:val="24"/>
    </w:rPr>
  </w:style>
  <w:style w:type="character" w:customStyle="1" w:styleId="a">
    <w:name w:val="文档结构图 字符"/>
    <w:link w:val="DocumentMap"/>
    <w:qFormat/>
  </w:style>
  <w:style w:type="paragraph" w:customStyle="1" w:styleId="1">
    <w:name w:val="列表段落1"/>
    <w:basedOn w:val="Normal"/>
    <w:uiPriority w:val="1"/>
    <w:qFormat/>
    <w:pPr>
      <w:ind w:firstLine="420" w:firstLineChars="200"/>
    </w:pPr>
  </w:style>
  <w:style w:type="character" w:customStyle="1" w:styleId="a0">
    <w:name w:val="正文文本缩进 字符"/>
    <w:link w:val="BodyTextIndent"/>
    <w:qFormat/>
  </w:style>
  <w:style w:type="paragraph" w:customStyle="1" w:styleId="10">
    <w:name w:val="样式1"/>
    <w:basedOn w:val="Normal"/>
    <w:qFormat/>
    <w:pPr>
      <w:adjustRightInd w:val="0"/>
      <w:snapToGrid w:val="0"/>
      <w:spacing w:line="400" w:lineRule="atLeast"/>
      <w:ind w:left="1134"/>
      <w:jc w:val="left"/>
    </w:pPr>
    <w:rPr>
      <w:rFonts w:ascii="宋体" w:hAnsi="CG Times"/>
      <w:color w:val="000000"/>
      <w:sz w:val="24"/>
      <w:szCs w:val="20"/>
    </w:rPr>
  </w:style>
  <w:style w:type="character" w:customStyle="1" w:styleId="a1">
    <w:name w:val="正文文本 字符"/>
    <w:link w:val="BodyText"/>
    <w:qFormat/>
    <w:rPr>
      <w:rFonts w:ascii="Arial" w:eastAsia="Arial" w:hAnsi="Arial" w:cs="Arial"/>
      <w:sz w:val="21"/>
      <w:szCs w:val="21"/>
      <w:lang w:val="en-US" w:eastAsia="en-US" w:bidi="ar-SA"/>
    </w:rPr>
  </w:style>
  <w:style w:type="table" w:customStyle="1" w:styleId="TableNormal0">
    <w:name w:val="Table Normal_0"/>
    <w:uiPriority w:val="2"/>
    <w:unhideWhenUsed/>
    <w:qFormat/>
    <w:pPr>
      <w:widowControl w:val="0"/>
      <w:autoSpaceDE w:val="0"/>
      <w:autoSpaceDN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jc w:val="left"/>
    </w:pPr>
    <w:rPr>
      <w:rFonts w:ascii="宋体" w:hAnsi="宋体" w:cs="宋体"/>
      <w:kern w:val="0"/>
      <w:sz w:val="22"/>
      <w:lang w:val="zh-CN" w:bidi="zh-CN"/>
    </w:rPr>
  </w:style>
  <w:style w:type="paragraph" w:customStyle="1" w:styleId="Char">
    <w:name w:val="Char"/>
    <w:basedOn w:val="Normal"/>
    <w:qFormat/>
    <w:pPr>
      <w:widowControl/>
      <w:spacing w:before="100" w:beforeAutospacing="1" w:after="100" w:afterAutospacing="1" w:line="360" w:lineRule="auto"/>
      <w:jc w:val="left"/>
    </w:pPr>
    <w:rPr>
      <w:rFonts w:ascii="Verdana" w:hAnsi="Verdana"/>
      <w:kern w:val="0"/>
      <w:sz w:val="20"/>
      <w:szCs w:val="21"/>
      <w:lang w:eastAsia="en-US"/>
    </w:rPr>
  </w:style>
  <w:style w:type="character" w:customStyle="1" w:styleId="a2">
    <w:name w:val="批注框文本 字符"/>
    <w:link w:val="BalloonText"/>
    <w:semiHidden/>
    <w:qFormat/>
    <w:rPr>
      <w:sz w:val="18"/>
    </w:rPr>
  </w:style>
  <w:style w:type="character" w:customStyle="1" w:styleId="a3">
    <w:name w:val="批注文字 字符"/>
    <w:link w:val="CommentText"/>
    <w:qFormat/>
  </w:style>
  <w:style w:type="character" w:customStyle="1" w:styleId="a4">
    <w:name w:val="批注主题 字符"/>
    <w:link w:val="CommentSubject"/>
    <w:qFormat/>
    <w:rPr>
      <w:b/>
    </w:rPr>
  </w:style>
  <w:style w:type="paragraph" w:customStyle="1" w:styleId="11">
    <w:name w:val="列出段落1"/>
    <w:basedOn w:val="Normal"/>
    <w:uiPriority w:val="99"/>
    <w:qFormat/>
    <w:pPr>
      <w:ind w:firstLine="420" w:firstLineChars="200"/>
    </w:pPr>
  </w:style>
  <w:style w:type="paragraph" w:customStyle="1" w:styleId="21">
    <w:name w:val="列出段落2"/>
    <w:basedOn w:val="Normal"/>
    <w:uiPriority w:val="99"/>
    <w:qFormat/>
    <w:pPr>
      <w:ind w:firstLine="420" w:firstLineChars="200"/>
    </w:pPr>
  </w:style>
  <w:style w:type="paragraph" w:customStyle="1" w:styleId="a5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6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2">
    <w:name w:val="柴_标题1"/>
    <w:basedOn w:val="Heading1"/>
    <w:next w:val="a7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7">
    <w:name w:val="柴_正文"/>
    <w:basedOn w:val="BodyText"/>
    <w:link w:val="Char0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2">
    <w:name w:val="柴_标题2"/>
    <w:basedOn w:val="Heading2"/>
    <w:next w:val="a7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7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8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2"/>
    <w:qFormat/>
    <w:rPr>
      <w:rFonts w:ascii="Arial" w:eastAsia="宋体" w:hAnsi="Arial"/>
      <w:sz w:val="32"/>
    </w:rPr>
  </w:style>
  <w:style w:type="paragraph" w:customStyle="1" w:styleId="a9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0">
    <w:name w:val="柴_正文 Char"/>
    <w:link w:val="a7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1809</Words>
  <Characters>1911</Characters>
  <Application>Microsoft Office Word</Application>
  <DocSecurity>0</DocSecurity>
  <Lines>25</Lines>
  <Paragraphs>7</Paragraphs>
  <ScaleCrop>false</ScaleCrop>
  <Company>China</Company>
  <LinksUpToDate>false</LinksUpToDate>
  <CharactersWithSpaces>1961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郝宇</cp:lastModifiedBy>
  <cp:revision>7</cp:revision>
  <dcterms:created xsi:type="dcterms:W3CDTF">2022-11-25T10:23:00Z</dcterms:created>
  <dcterms:modified xsi:type="dcterms:W3CDTF">2025-12-02T11:18:55Z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2AA3DD2D70134711A38CA64C130C8CF8_13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