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44FE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786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1360911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2311"/>
      <w:r>
        <w:rPr>
          <w:rFonts w:hint="eastAsia"/>
          <w:lang w:val="en-US" w:eastAsia="zh-CN"/>
        </w:rPr>
        <w:t>组织架构与部门职责说明</w:t>
      </w:r>
      <w:bookmarkEnd w:id="1"/>
    </w:p>
    <w:p w14:paraId="5EE22E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FE01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511C9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46F6A2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D222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A6172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9FA27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129F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E2AC2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F8842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654B4D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7D907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D5A9A4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GoBack"/>
      <w:bookmarkEnd w:id="11"/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0BB0E1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1D13B8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_Toc14786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0BAD4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组织架构与部门职责说明</w:t>
          </w:r>
          <w:r>
            <w:tab/>
          </w:r>
          <w:r>
            <w:fldChar w:fldCharType="begin"/>
          </w:r>
          <w:r>
            <w:instrText xml:space="preserve"> PAGEREF _Toc12311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404D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组织架构图</w:t>
          </w:r>
          <w:r>
            <w:tab/>
          </w:r>
          <w:r>
            <w:fldChar w:fldCharType="begin"/>
          </w:r>
          <w:r>
            <w:instrText xml:space="preserve"> PAGEREF _Toc124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35B99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部门职责说明</w:t>
          </w:r>
          <w:r>
            <w:tab/>
          </w:r>
          <w:r>
            <w:fldChar w:fldCharType="begin"/>
          </w:r>
          <w:r>
            <w:instrText xml:space="preserve"> PAGEREF _Toc30738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D1F4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数智运营部</w:t>
          </w:r>
          <w:r>
            <w:tab/>
          </w:r>
          <w:r>
            <w:fldChar w:fldCharType="begin"/>
          </w:r>
          <w:r>
            <w:instrText xml:space="preserve"> PAGEREF _Toc3634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53F0D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_Toc28568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08335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_Toc20680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90E7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研究总院</w:t>
          </w:r>
          <w:r>
            <w:tab/>
          </w:r>
          <w:r>
            <w:fldChar w:fldCharType="begin"/>
          </w:r>
          <w:r>
            <w:instrText xml:space="preserve"> PAGEREF _Toc2815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0D7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_Toc14643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C976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_Toc30077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A11B9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_Toc5022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AFC30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18F710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9F93CF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24"/>
      <w:r>
        <w:rPr>
          <w:rFonts w:hint="eastAsia"/>
          <w:lang w:val="en-US" w:eastAsia="zh-CN"/>
        </w:rPr>
        <w:t>组织架构图</w:t>
      </w:r>
      <w:bookmarkEnd w:id="2"/>
    </w:p>
    <w:p w14:paraId="7CF8200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江西通信产业服务有限公司一级运维部门有数智运营部、研究总院、人力部、质量管理部和应急管理部。其中数智运营部下设服务台、服务知识。如图1-1所示。</w:t>
      </w:r>
    </w:p>
    <w:p w14:paraId="022C95E7">
      <w:pPr>
        <w:pStyle w:val="29"/>
        <w:ind w:left="0" w:leftChars="0" w:right="0" w:rightChars="0" w:firstLine="0" w:firstLineChars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江西通信组织架构图</w:t>
      </w:r>
    </w:p>
    <w:p w14:paraId="519F83D4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77.7pt;width:424.3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143155F9">
      <w:pPr>
        <w:pStyle w:val="28"/>
        <w:bidi w:val="0"/>
        <w:rPr>
          <w:rFonts w:hint="default"/>
          <w:lang w:val="en-US" w:eastAsia="zh-CN"/>
        </w:rPr>
      </w:pPr>
      <w:bookmarkStart w:id="3" w:name="_Toc30738"/>
      <w:r>
        <w:rPr>
          <w:rFonts w:hint="eastAsia"/>
          <w:lang w:val="en-US" w:eastAsia="zh-CN"/>
        </w:rPr>
        <w:t>部门职责说明</w:t>
      </w:r>
      <w:bookmarkEnd w:id="3"/>
    </w:p>
    <w:p w14:paraId="102B4ADC">
      <w:pPr>
        <w:pStyle w:val="30"/>
        <w:bidi w:val="0"/>
        <w:rPr>
          <w:rFonts w:hint="eastAsia"/>
          <w:lang w:val="en-US" w:eastAsia="zh-CN"/>
        </w:rPr>
      </w:pPr>
      <w:bookmarkStart w:id="4" w:name="_Toc3634"/>
      <w:r>
        <w:rPr>
          <w:rFonts w:hint="eastAsia"/>
          <w:lang w:val="en-US" w:eastAsia="zh-CN"/>
        </w:rPr>
        <w:t>数智运营部</w:t>
      </w:r>
      <w:bookmarkEnd w:id="4"/>
    </w:p>
    <w:p w14:paraId="3572D8B2">
      <w:pPr>
        <w:pStyle w:val="40"/>
        <w:numPr>
          <w:ilvl w:val="0"/>
          <w:numId w:val="2"/>
        </w:numPr>
        <w:bidi w:val="0"/>
      </w:pPr>
      <w:r>
        <w:t>建立并完善公司运维服务规范；</w:t>
      </w:r>
    </w:p>
    <w:p w14:paraId="3B023A1D">
      <w:pPr>
        <w:pStyle w:val="40"/>
        <w:numPr>
          <w:ilvl w:val="0"/>
          <w:numId w:val="2"/>
        </w:numPr>
        <w:bidi w:val="0"/>
      </w:pPr>
      <w:r>
        <w:t>受理客户及业务部门申告，并派发事件受理单和支持派工单；</w:t>
      </w:r>
    </w:p>
    <w:p w14:paraId="510ACBC7">
      <w:pPr>
        <w:pStyle w:val="40"/>
        <w:numPr>
          <w:ilvl w:val="0"/>
          <w:numId w:val="2"/>
        </w:numPr>
        <w:bidi w:val="0"/>
      </w:pPr>
      <w:r>
        <w:t>负责跟踪、记录运行维护类项目工作状态，确保运维项目实施过程规范和有序；</w:t>
      </w:r>
    </w:p>
    <w:p w14:paraId="4CD448C6">
      <w:pPr>
        <w:pStyle w:val="40"/>
        <w:numPr>
          <w:ilvl w:val="0"/>
          <w:numId w:val="2"/>
        </w:numPr>
        <w:bidi w:val="0"/>
      </w:pPr>
      <w:r>
        <w:t>负责按照公司要求准时提交运维服务相关的报表及报告；</w:t>
      </w:r>
    </w:p>
    <w:p w14:paraId="7FC36B75">
      <w:pPr>
        <w:pStyle w:val="40"/>
        <w:numPr>
          <w:ilvl w:val="0"/>
          <w:numId w:val="2"/>
        </w:numPr>
        <w:bidi w:val="0"/>
      </w:pPr>
      <w:r>
        <w:t>负责</w:t>
      </w:r>
      <w:r>
        <w:rPr>
          <w:rFonts w:hint="eastAsia"/>
          <w:lang w:val="en-US" w:eastAsia="zh-CN"/>
        </w:rPr>
        <w:t>服务</w:t>
      </w:r>
      <w:r>
        <w:t>知识管理；</w:t>
      </w:r>
    </w:p>
    <w:p w14:paraId="48374EAD">
      <w:pPr>
        <w:pStyle w:val="40"/>
        <w:numPr>
          <w:ilvl w:val="0"/>
          <w:numId w:val="2"/>
        </w:numPr>
        <w:bidi w:val="0"/>
      </w:pPr>
      <w:r>
        <w:t>负责处理项目现场应急处置方面的需求，建立与研究总院、</w:t>
      </w:r>
      <w:r>
        <w:rPr>
          <w:rFonts w:hint="eastAsia"/>
          <w:lang w:val="en-US" w:eastAsia="zh-CN"/>
        </w:rPr>
        <w:t>采购部</w:t>
      </w:r>
      <w:r>
        <w:t>的应急联络机制，以确保应急处置的快速响应；</w:t>
      </w:r>
    </w:p>
    <w:p w14:paraId="131DC5F8">
      <w:pPr>
        <w:pStyle w:val="40"/>
        <w:numPr>
          <w:ilvl w:val="0"/>
          <w:numId w:val="2"/>
        </w:numPr>
        <w:bidi w:val="0"/>
      </w:pPr>
      <w:r>
        <w:t>负责协调公司各种资源完成订单交付实施工作，解决产品交付过程中的各种问题；</w:t>
      </w:r>
    </w:p>
    <w:p w14:paraId="62729440">
      <w:pPr>
        <w:pStyle w:val="40"/>
        <w:numPr>
          <w:ilvl w:val="0"/>
          <w:numId w:val="2"/>
        </w:numPr>
        <w:bidi w:val="0"/>
      </w:pPr>
      <w:r>
        <w:t>负责产品交付客户后的售后服务工作，解决客户产品运行中的问题以及产品升级迭代服务工作，负责远程或者驻场提供运维服务</w:t>
      </w:r>
    </w:p>
    <w:p w14:paraId="7960E6BD">
      <w:pPr>
        <w:pStyle w:val="40"/>
        <w:numPr>
          <w:ilvl w:val="0"/>
          <w:numId w:val="2"/>
        </w:numPr>
        <w:bidi w:val="0"/>
      </w:pPr>
      <w:r>
        <w:t>负责公司运维服务项目的实施交付。</w:t>
      </w:r>
    </w:p>
    <w:p w14:paraId="67815E6F">
      <w:pPr>
        <w:pStyle w:val="31"/>
        <w:bidi w:val="0"/>
        <w:rPr>
          <w:rFonts w:hint="eastAsia"/>
          <w:lang w:val="en-US" w:eastAsia="zh-CN"/>
        </w:rPr>
      </w:pPr>
      <w:bookmarkStart w:id="5" w:name="_Toc28568"/>
      <w:r>
        <w:rPr>
          <w:rFonts w:hint="eastAsia"/>
          <w:lang w:val="en-US" w:eastAsia="zh-CN"/>
        </w:rPr>
        <w:t>服务台</w:t>
      </w:r>
      <w:bookmarkEnd w:id="5"/>
    </w:p>
    <w:p w14:paraId="66051B4E">
      <w:pPr>
        <w:numPr>
          <w:ilvl w:val="0"/>
          <w:numId w:val="3"/>
        </w:numPr>
        <w:spacing w:before="182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负责承担服务台职能,建立并完善</w:t>
      </w:r>
      <w:r>
        <w:rPr>
          <w:rFonts w:hint="eastAsia" w:ascii="宋体" w:hAnsi="宋体" w:eastAsia="宋体" w:cs="宋体"/>
          <w:spacing w:val="1"/>
          <w:sz w:val="24"/>
          <w:szCs w:val="24"/>
          <w:lang w:val="en-US" w:eastAsia="zh-CN"/>
        </w:rPr>
        <w:t>服务台</w:t>
      </w:r>
      <w:r>
        <w:rPr>
          <w:rFonts w:ascii="宋体" w:hAnsi="宋体" w:eastAsia="宋体" w:cs="宋体"/>
          <w:spacing w:val="1"/>
          <w:sz w:val="24"/>
          <w:szCs w:val="24"/>
        </w:rPr>
        <w:t>服务规范；</w:t>
      </w:r>
    </w:p>
    <w:p w14:paraId="2F44C5A2">
      <w:pPr>
        <w:numPr>
          <w:ilvl w:val="0"/>
          <w:numId w:val="3"/>
        </w:numPr>
        <w:spacing w:before="185" w:line="290" w:lineRule="auto"/>
        <w:ind w:left="425" w:leftChars="0" w:right="5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负责客户满意度调查、分析、改进，对交付项目的执</w:t>
      </w:r>
      <w:r>
        <w:rPr>
          <w:rFonts w:ascii="宋体" w:hAnsi="宋体" w:eastAsia="宋体" w:cs="宋体"/>
          <w:spacing w:val="-1"/>
          <w:sz w:val="24"/>
          <w:szCs w:val="24"/>
        </w:rPr>
        <w:t>行结果、客户满意</w:t>
      </w:r>
      <w:r>
        <w:rPr>
          <w:rFonts w:ascii="宋体" w:hAnsi="宋体" w:eastAsia="宋体" w:cs="宋体"/>
          <w:sz w:val="24"/>
          <w:szCs w:val="24"/>
        </w:rPr>
        <w:t>度调查结果负责。</w:t>
      </w:r>
    </w:p>
    <w:p w14:paraId="2C599266">
      <w:pPr>
        <w:numPr>
          <w:ilvl w:val="0"/>
          <w:numId w:val="3"/>
        </w:numPr>
        <w:spacing w:before="184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负责按照公司要求定时提报客户满意度报告；</w:t>
      </w:r>
    </w:p>
    <w:p w14:paraId="54B3E040">
      <w:pPr>
        <w:numPr>
          <w:ilvl w:val="0"/>
          <w:numId w:val="3"/>
        </w:numPr>
        <w:spacing w:before="186" w:line="290" w:lineRule="auto"/>
        <w:ind w:left="425" w:leftChars="0" w:right="58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负责接听现场应急处置方面的需求，建立与数智运营部的应急联络机制，以</w:t>
      </w:r>
      <w:r>
        <w:rPr>
          <w:rFonts w:ascii="宋体" w:hAnsi="宋体" w:eastAsia="宋体" w:cs="宋体"/>
          <w:sz w:val="24"/>
          <w:szCs w:val="24"/>
        </w:rPr>
        <w:t>确保应急处置的快速响应。</w:t>
      </w:r>
    </w:p>
    <w:p w14:paraId="2BDE27D1">
      <w:pPr>
        <w:numPr>
          <w:ilvl w:val="0"/>
          <w:numId w:val="3"/>
        </w:numPr>
        <w:spacing w:before="78" w:line="360" w:lineRule="auto"/>
        <w:ind w:left="425" w:leftChars="0" w:right="69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负责已售产品客户来访（电话、微信、网站等）问题的整理、解答和回</w:t>
      </w:r>
      <w:r>
        <w:rPr>
          <w:rFonts w:ascii="宋体" w:hAnsi="宋体" w:eastAsia="宋体" w:cs="宋体"/>
          <w:spacing w:val="-4"/>
          <w:sz w:val="24"/>
          <w:szCs w:val="24"/>
        </w:rPr>
        <w:t>访，客户投诉的处理。</w:t>
      </w:r>
    </w:p>
    <w:p w14:paraId="4E658052">
      <w:pPr>
        <w:pStyle w:val="31"/>
        <w:bidi w:val="0"/>
        <w:rPr>
          <w:rFonts w:hint="default"/>
          <w:lang w:val="en-US" w:eastAsia="zh-CN"/>
        </w:rPr>
      </w:pPr>
      <w:bookmarkStart w:id="6" w:name="_Toc20680"/>
      <w:r>
        <w:rPr>
          <w:rFonts w:hint="eastAsia"/>
          <w:lang w:val="en-US" w:eastAsia="zh-CN"/>
        </w:rPr>
        <w:t>服务知识</w:t>
      </w:r>
      <w:bookmarkEnd w:id="6"/>
    </w:p>
    <w:p w14:paraId="408358C7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知识采集整合：从各类运维实践中采集、验证并整合有效解决方案，形成知识条目。</w:t>
      </w:r>
    </w:p>
    <w:p w14:paraId="546E1AE9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管理：负责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的构建、更新与维护，确保知识分类清晰、内容准确易用。</w:t>
      </w:r>
    </w:p>
    <w:p w14:paraId="078EAEAB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知识共享推广：通过培训和文化建设，推动知识在团队内部的共享、学习与广泛应用。</w:t>
      </w:r>
    </w:p>
    <w:p w14:paraId="09661E2A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知识应用支持：赋能一线人员快速应用知识解决问题，提升服务效率与客户满意度。</w:t>
      </w:r>
    </w:p>
    <w:p w14:paraId="2FD39F4B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质量持续改进：监控知识有效性，基于反馈持续优化知识内容与管理流程。</w:t>
      </w:r>
    </w:p>
    <w:p w14:paraId="7DEBE64C">
      <w:pPr>
        <w:pStyle w:val="30"/>
        <w:bidi w:val="0"/>
        <w:rPr>
          <w:rFonts w:hint="eastAsia"/>
          <w:lang w:val="en-US" w:eastAsia="zh-CN"/>
        </w:rPr>
      </w:pPr>
      <w:bookmarkStart w:id="7" w:name="_Toc2815"/>
      <w:r>
        <w:rPr>
          <w:rFonts w:hint="eastAsia"/>
          <w:lang w:val="en-US" w:eastAsia="zh-CN"/>
        </w:rPr>
        <w:t>研究总院</w:t>
      </w:r>
      <w:bookmarkEnd w:id="7"/>
    </w:p>
    <w:p w14:paraId="14195D51">
      <w:pPr>
        <w:numPr>
          <w:ilvl w:val="0"/>
          <w:numId w:val="5"/>
        </w:numPr>
        <w:spacing w:before="78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软件产品研发的立项、架构设计、程序开发</w:t>
      </w:r>
      <w:r>
        <w:rPr>
          <w:rFonts w:ascii="宋体" w:hAnsi="宋体" w:eastAsia="宋体" w:cs="宋体"/>
          <w:spacing w:val="-3"/>
          <w:sz w:val="24"/>
          <w:szCs w:val="24"/>
        </w:rPr>
        <w:t>、功能测试等；</w:t>
      </w:r>
    </w:p>
    <w:p w14:paraId="77C135D2">
      <w:pPr>
        <w:numPr>
          <w:ilvl w:val="0"/>
          <w:numId w:val="5"/>
        </w:numPr>
        <w:spacing w:before="185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软件项目资料的标准化管理；</w:t>
      </w:r>
    </w:p>
    <w:p w14:paraId="17C6D2CB">
      <w:pPr>
        <w:numPr>
          <w:ilvl w:val="0"/>
          <w:numId w:val="5"/>
        </w:numPr>
        <w:spacing w:before="185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软件使用说明材料的编订和培训，</w:t>
      </w:r>
    </w:p>
    <w:p w14:paraId="7FDCC15C">
      <w:pPr>
        <w:numPr>
          <w:ilvl w:val="0"/>
          <w:numId w:val="5"/>
        </w:numPr>
        <w:spacing w:before="186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负责运维工具的研制与开发。</w:t>
      </w:r>
    </w:p>
    <w:p w14:paraId="05581AF2">
      <w:pPr>
        <w:pStyle w:val="30"/>
        <w:bidi w:val="0"/>
        <w:rPr>
          <w:rFonts w:hint="eastAsia"/>
          <w:lang w:val="en-US" w:eastAsia="zh-CN"/>
        </w:rPr>
      </w:pPr>
      <w:bookmarkStart w:id="8" w:name="_Toc14643"/>
      <w:r>
        <w:rPr>
          <w:rFonts w:hint="eastAsia"/>
          <w:lang w:val="en-US" w:eastAsia="zh-CN"/>
        </w:rPr>
        <w:t>人力部</w:t>
      </w:r>
      <w:bookmarkEnd w:id="8"/>
    </w:p>
    <w:p w14:paraId="18D6C295">
      <w:pPr>
        <w:numPr>
          <w:ilvl w:val="0"/>
          <w:numId w:val="6"/>
        </w:numPr>
        <w:spacing w:before="183" w:line="290" w:lineRule="auto"/>
        <w:ind w:left="425" w:leftChars="0" w:right="84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负责组织发展管理（组织设计、岗位设计、业务流程梳理、任职资格与</w:t>
      </w:r>
      <w:r>
        <w:rPr>
          <w:rFonts w:ascii="宋体" w:hAnsi="宋体" w:eastAsia="宋体" w:cs="宋体"/>
          <w:spacing w:val="-4"/>
          <w:sz w:val="24"/>
          <w:szCs w:val="24"/>
        </w:rPr>
        <w:t>胜任能力模型）</w:t>
      </w:r>
    </w:p>
    <w:p w14:paraId="29D05F52">
      <w:pPr>
        <w:numPr>
          <w:ilvl w:val="0"/>
          <w:numId w:val="6"/>
        </w:numPr>
        <w:spacing w:before="181" w:line="28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负责人才供应链管理（招聘、培训、人才梯队、人才盘点、职业</w:t>
      </w:r>
      <w:r>
        <w:rPr>
          <w:rFonts w:ascii="宋体" w:hAnsi="宋体" w:eastAsia="宋体" w:cs="宋体"/>
          <w:spacing w:val="-5"/>
          <w:sz w:val="24"/>
          <w:szCs w:val="24"/>
        </w:rPr>
        <w:t>发展）、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③ 负责人才价值链管理（薪酬、绩效、激励、动态升降）、</w:t>
      </w:r>
    </w:p>
    <w:p w14:paraId="33A47195">
      <w:pPr>
        <w:numPr>
          <w:ilvl w:val="0"/>
          <w:numId w:val="6"/>
        </w:numPr>
        <w:spacing w:before="186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负责企业文化和员工关系管理；</w:t>
      </w:r>
    </w:p>
    <w:p w14:paraId="5358679E">
      <w:pPr>
        <w:numPr>
          <w:ilvl w:val="0"/>
          <w:numId w:val="6"/>
        </w:numPr>
        <w:spacing w:before="186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负责劳动人事管理等其他事务性工作</w:t>
      </w:r>
    </w:p>
    <w:p w14:paraId="38A3F362">
      <w:pPr>
        <w:pStyle w:val="30"/>
        <w:bidi w:val="0"/>
      </w:pPr>
      <w:bookmarkStart w:id="9" w:name="_Toc30077"/>
      <w:r>
        <w:rPr>
          <w:rFonts w:hint="eastAsia"/>
          <w:lang w:val="en-US" w:eastAsia="zh-CN"/>
        </w:rPr>
        <w:t>质量管理部</w:t>
      </w:r>
      <w:bookmarkEnd w:id="9"/>
    </w:p>
    <w:p w14:paraId="417455C6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负责制定、维护并持续优化IT服务质量管理体系及相关流程、规范，确保其符合ITSS标准及业务发展要求。</w:t>
      </w:r>
    </w:p>
    <w:p w14:paraId="0C77C0B0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通过日常检查、审计或抽查等方式，监督各项IT服务过程（如事件、问题、变更管理）的执行符合既定流程与标准。</w:t>
      </w:r>
    </w:p>
    <w:p w14:paraId="2B3E67B8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定期组织对IT服务交付成果（如系统稳定性、项目交付物、SLA达成情况）进行测量、分析和评估，出具质量报告。</w:t>
      </w:r>
    </w:p>
    <w:p w14:paraId="3FCB35B4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负责识别、记录服务过程中的不符合项，推动责任部门进行根本原因分析并制定纠正预防措施，跟踪验证措施有效性。</w:t>
      </w:r>
    </w:p>
    <w:p w14:paraId="3FB2F394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主导质量检查单、审计报告、度量指标等质量管理工具和文档的设计与管理，确保质量活动记录完整、可追溯。</w:t>
      </w:r>
    </w:p>
    <w:p w14:paraId="271DF3AF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在公司内部宣贯质量方针与目标，组织相关质量培训，提升全员的质量意识和过程遵循能力。</w:t>
      </w:r>
    </w:p>
    <w:p w14:paraId="11C606A1">
      <w:pPr>
        <w:pStyle w:val="29"/>
        <w:numPr>
          <w:ilvl w:val="0"/>
          <w:numId w:val="7"/>
        </w:numPr>
        <w:ind w:left="425" w:leftChars="0" w:hanging="425" w:firstLineChars="0"/>
      </w:pPr>
      <w:r>
        <w:rPr>
          <w:rFonts w:hint="eastAsia"/>
        </w:rPr>
        <w:t>协助和服务管理部门，基于质量数据分析结果，共同策划和实施服务改进计划，推动服务质量的持续提升。</w:t>
      </w:r>
    </w:p>
    <w:p w14:paraId="4AB330C8">
      <w:pPr>
        <w:pStyle w:val="30"/>
        <w:bidi w:val="0"/>
        <w:rPr>
          <w:rFonts w:hint="default"/>
          <w:lang w:val="en-US" w:eastAsia="zh-CN"/>
        </w:rPr>
      </w:pPr>
      <w:bookmarkStart w:id="10" w:name="_Toc5022"/>
      <w:r>
        <w:rPr>
          <w:rFonts w:hint="eastAsia"/>
          <w:lang w:val="en-US" w:eastAsia="zh-CN"/>
        </w:rPr>
        <w:t>应急管理部</w:t>
      </w:r>
      <w:bookmarkEnd w:id="10"/>
    </w:p>
    <w:p w14:paraId="7691AE0F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根据应急要求，可临时成立支持业务需求的指挥组、技术组等，一般由公司副总担任应急管理部负责人。</w:t>
      </w:r>
    </w:p>
    <w:p w14:paraId="2C124332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应急体系与预案管理：负责建立、维护公司统一的应急响应体系，制定、评审和更新各类应急预案。</w:t>
      </w:r>
    </w:p>
    <w:p w14:paraId="2914F429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应急监控与预警：实时监控运维服务状态，识别潜在风险并发布预警信息，启动应急响应流程。</w:t>
      </w:r>
    </w:p>
    <w:p w14:paraId="7CB2849B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应急指挥与协调：作为应急指挥中心，协调内外部资源进行应急处置，确保快速、有序恢复服务。</w:t>
      </w:r>
    </w:p>
    <w:p w14:paraId="6A74DFC6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应急演练与培训：定期组织应急演练与培训，提升团队的应急响应能力和协同作战水平。</w:t>
      </w:r>
    </w:p>
    <w:p w14:paraId="12A694EB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应急复盘与改进：主导应急事件的复盘分析，推动整改措施落地，持续优化应急流程与预案。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1AB59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D32FA"/>
    <w:multiLevelType w:val="singleLevel"/>
    <w:tmpl w:val="813D32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9D3534D"/>
    <w:multiLevelType w:val="singleLevel"/>
    <w:tmpl w:val="99D353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771C7D"/>
    <w:multiLevelType w:val="singleLevel"/>
    <w:tmpl w:val="AE771C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509A27E"/>
    <w:multiLevelType w:val="singleLevel"/>
    <w:tmpl w:val="C509A2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FF16FE7"/>
    <w:multiLevelType w:val="singleLevel"/>
    <w:tmpl w:val="0FF16F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AA17F87"/>
    <w:multiLevelType w:val="singleLevel"/>
    <w:tmpl w:val="3AA17F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3805618"/>
    <w:multiLevelType w:val="singleLevel"/>
    <w:tmpl w:val="638056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1E672BA"/>
    <w:rsid w:val="1D2B595C"/>
    <w:rsid w:val="3D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1694</Words>
  <Characters>1788</Characters>
  <Lines>0</Lines>
  <Paragraphs>0</Paragraphs>
  <TotalTime>0</TotalTime>
  <ScaleCrop>false</ScaleCrop>
  <LinksUpToDate>false</LinksUpToDate>
  <CharactersWithSpaces>1832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2026-01-16T18:49:40Z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