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C4CA3">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1244"/>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6888036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1100"/>
      <w:r>
        <w:rPr>
          <w:rFonts w:hint="eastAsia"/>
          <w:lang w:val="en-US" w:eastAsia="zh-CN"/>
        </w:rPr>
        <w:t>运维服务沟通管理制度</w:t>
      </w:r>
      <w:bookmarkEnd w:id="1"/>
    </w:p>
    <w:p w14:paraId="7659208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7D09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8863E4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7BBB287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B450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30CA4DB">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401F925">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9E9A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BD960A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91D795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75C9D6C">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3AB7DB9">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45C805C">
      <w:pPr>
        <w:keepNext w:val="0"/>
        <w:keepLines w:val="0"/>
        <w:pageBreakBefore w:val="0"/>
        <w:widowControl w:val="0"/>
        <w:kinsoku w:val="0"/>
        <w:wordWrap/>
        <w:overflowPunct/>
        <w:autoSpaceDE w:val="0"/>
        <w:autoSpaceDN w:val="0"/>
        <w:bidi w:val="0"/>
        <w:adjustRightInd w:val="0"/>
        <w:snapToGrid w:val="0"/>
        <w:textAlignment w:val="baseline"/>
      </w:pPr>
      <w:bookmarkStart w:id="19" w:name="_GoBack"/>
      <w:bookmarkEnd w:id="19"/>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068ED49">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283AE12">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_Toc31244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_Toc31244 \h </w:instrText>
          </w:r>
          <w:r>
            <w:fldChar w:fldCharType="separate"/>
          </w:r>
          <w:r>
            <w:t>1</w:t>
          </w:r>
          <w:r>
            <w:fldChar w:fldCharType="end"/>
          </w:r>
          <w:r>
            <w:rPr>
              <w:rFonts w:hint="eastAsia" w:ascii="宋体" w:hAnsi="宋体" w:eastAsia="宋体" w:cs="宋体"/>
              <w:szCs w:val="24"/>
            </w:rPr>
            <w:fldChar w:fldCharType="end"/>
          </w:r>
        </w:p>
        <w:p w14:paraId="1E5922D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_Toc11100 </w:instrText>
          </w:r>
          <w:r>
            <w:rPr>
              <w:rFonts w:hint="eastAsia" w:ascii="宋体" w:hAnsi="宋体" w:eastAsia="宋体" w:cs="宋体"/>
              <w:szCs w:val="24"/>
            </w:rPr>
            <w:fldChar w:fldCharType="separate"/>
          </w:r>
          <w:r>
            <w:rPr>
              <w:rFonts w:hint="eastAsia"/>
              <w:lang w:val="en-US" w:eastAsia="zh-CN"/>
            </w:rPr>
            <w:t>运维服务沟通管理制度</w:t>
          </w:r>
          <w:r>
            <w:tab/>
          </w:r>
          <w:r>
            <w:fldChar w:fldCharType="begin"/>
          </w:r>
          <w:r>
            <w:instrText xml:space="preserve"> PAGEREF _Toc11100 \h </w:instrText>
          </w:r>
          <w:r>
            <w:fldChar w:fldCharType="separate"/>
          </w:r>
          <w:r>
            <w:t>1</w:t>
          </w:r>
          <w:r>
            <w:fldChar w:fldCharType="end"/>
          </w:r>
          <w:r>
            <w:rPr>
              <w:rFonts w:hint="eastAsia" w:ascii="宋体" w:hAnsi="宋体" w:eastAsia="宋体" w:cs="宋体"/>
              <w:szCs w:val="24"/>
            </w:rPr>
            <w:fldChar w:fldCharType="end"/>
          </w:r>
        </w:p>
        <w:p w14:paraId="2A163F1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_Toc29201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目的</w:t>
          </w:r>
          <w:r>
            <w:tab/>
          </w:r>
          <w:r>
            <w:fldChar w:fldCharType="begin"/>
          </w:r>
          <w:r>
            <w:instrText xml:space="preserve"> PAGEREF _Toc29201 \h </w:instrText>
          </w:r>
          <w:r>
            <w:fldChar w:fldCharType="separate"/>
          </w:r>
          <w:r>
            <w:t>4</w:t>
          </w:r>
          <w:r>
            <w:fldChar w:fldCharType="end"/>
          </w:r>
          <w:r>
            <w:rPr>
              <w:rFonts w:hint="eastAsia" w:ascii="宋体" w:hAnsi="宋体" w:eastAsia="宋体" w:cs="宋体"/>
              <w:szCs w:val="24"/>
            </w:rPr>
            <w:fldChar w:fldCharType="end"/>
          </w:r>
        </w:p>
        <w:p w14:paraId="54B83FD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_Toc29108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适用范围</w:t>
          </w:r>
          <w:r>
            <w:tab/>
          </w:r>
          <w:r>
            <w:fldChar w:fldCharType="begin"/>
          </w:r>
          <w:r>
            <w:instrText xml:space="preserve"> PAGEREF _Toc29108 \h </w:instrText>
          </w:r>
          <w:r>
            <w:fldChar w:fldCharType="separate"/>
          </w:r>
          <w:r>
            <w:t>4</w:t>
          </w:r>
          <w:r>
            <w:fldChar w:fldCharType="end"/>
          </w:r>
          <w:r>
            <w:rPr>
              <w:rFonts w:hint="eastAsia" w:ascii="宋体" w:hAnsi="宋体" w:eastAsia="宋体" w:cs="宋体"/>
              <w:szCs w:val="24"/>
            </w:rPr>
            <w:fldChar w:fldCharType="end"/>
          </w:r>
        </w:p>
        <w:p w14:paraId="2480FB2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_Toc3194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职责</w:t>
          </w:r>
          <w:r>
            <w:tab/>
          </w:r>
          <w:r>
            <w:fldChar w:fldCharType="begin"/>
          </w:r>
          <w:r>
            <w:instrText xml:space="preserve"> PAGEREF _Toc3194 \h </w:instrText>
          </w:r>
          <w:r>
            <w:fldChar w:fldCharType="separate"/>
          </w:r>
          <w:r>
            <w:t>4</w:t>
          </w:r>
          <w:r>
            <w:fldChar w:fldCharType="end"/>
          </w:r>
          <w:r>
            <w:rPr>
              <w:rFonts w:hint="eastAsia" w:ascii="宋体" w:hAnsi="宋体" w:eastAsia="宋体" w:cs="宋体"/>
              <w:szCs w:val="24"/>
            </w:rPr>
            <w:fldChar w:fldCharType="end"/>
          </w:r>
        </w:p>
        <w:p w14:paraId="6A00242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_Toc28747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公司管理层</w:t>
          </w:r>
          <w:r>
            <w:tab/>
          </w:r>
          <w:r>
            <w:fldChar w:fldCharType="begin"/>
          </w:r>
          <w:r>
            <w:instrText xml:space="preserve"> PAGEREF _Toc28747 \h </w:instrText>
          </w:r>
          <w:r>
            <w:fldChar w:fldCharType="separate"/>
          </w:r>
          <w:r>
            <w:t>4</w:t>
          </w:r>
          <w:r>
            <w:fldChar w:fldCharType="end"/>
          </w:r>
          <w:r>
            <w:rPr>
              <w:rFonts w:hint="eastAsia" w:ascii="宋体" w:hAnsi="宋体" w:eastAsia="宋体" w:cs="宋体"/>
              <w:szCs w:val="24"/>
            </w:rPr>
            <w:fldChar w:fldCharType="end"/>
          </w:r>
        </w:p>
        <w:p w14:paraId="7F6469E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_Toc25820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质量管理部</w:t>
          </w:r>
          <w:r>
            <w:tab/>
          </w:r>
          <w:r>
            <w:fldChar w:fldCharType="begin"/>
          </w:r>
          <w:r>
            <w:instrText xml:space="preserve"> PAGEREF _Toc25820 \h </w:instrText>
          </w:r>
          <w:r>
            <w:fldChar w:fldCharType="separate"/>
          </w:r>
          <w:r>
            <w:t>4</w:t>
          </w:r>
          <w:r>
            <w:fldChar w:fldCharType="end"/>
          </w:r>
          <w:r>
            <w:rPr>
              <w:rFonts w:hint="eastAsia" w:ascii="宋体" w:hAnsi="宋体" w:eastAsia="宋体" w:cs="宋体"/>
              <w:szCs w:val="24"/>
            </w:rPr>
            <w:fldChar w:fldCharType="end"/>
          </w:r>
        </w:p>
        <w:p w14:paraId="0AEF159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_Toc12751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数智运营部</w:t>
          </w:r>
          <w:r>
            <w:tab/>
          </w:r>
          <w:r>
            <w:fldChar w:fldCharType="begin"/>
          </w:r>
          <w:r>
            <w:instrText xml:space="preserve"> PAGEREF _Toc12751 \h </w:instrText>
          </w:r>
          <w:r>
            <w:fldChar w:fldCharType="separate"/>
          </w:r>
          <w:r>
            <w:t>4</w:t>
          </w:r>
          <w:r>
            <w:fldChar w:fldCharType="end"/>
          </w:r>
          <w:r>
            <w:rPr>
              <w:rFonts w:hint="eastAsia" w:ascii="宋体" w:hAnsi="宋体" w:eastAsia="宋体" w:cs="宋体"/>
              <w:szCs w:val="24"/>
            </w:rPr>
            <w:fldChar w:fldCharType="end"/>
          </w:r>
        </w:p>
        <w:p w14:paraId="492CC32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_Toc27378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运维项目经理</w:t>
          </w:r>
          <w:r>
            <w:tab/>
          </w:r>
          <w:r>
            <w:fldChar w:fldCharType="begin"/>
          </w:r>
          <w:r>
            <w:instrText xml:space="preserve"> PAGEREF _Toc27378 \h </w:instrText>
          </w:r>
          <w:r>
            <w:fldChar w:fldCharType="separate"/>
          </w:r>
          <w:r>
            <w:t>4</w:t>
          </w:r>
          <w:r>
            <w:fldChar w:fldCharType="end"/>
          </w:r>
          <w:r>
            <w:rPr>
              <w:rFonts w:hint="eastAsia" w:ascii="宋体" w:hAnsi="宋体" w:eastAsia="宋体" w:cs="宋体"/>
              <w:szCs w:val="24"/>
            </w:rPr>
            <w:fldChar w:fldCharType="end"/>
          </w:r>
        </w:p>
        <w:p w14:paraId="7F3DE2A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_Toc16329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工作程序</w:t>
          </w:r>
          <w:r>
            <w:tab/>
          </w:r>
          <w:r>
            <w:fldChar w:fldCharType="begin"/>
          </w:r>
          <w:r>
            <w:instrText xml:space="preserve"> PAGEREF _Toc16329 \h </w:instrText>
          </w:r>
          <w:r>
            <w:fldChar w:fldCharType="separate"/>
          </w:r>
          <w:r>
            <w:t>5</w:t>
          </w:r>
          <w:r>
            <w:fldChar w:fldCharType="end"/>
          </w:r>
          <w:r>
            <w:rPr>
              <w:rFonts w:hint="eastAsia" w:ascii="宋体" w:hAnsi="宋体" w:eastAsia="宋体" w:cs="宋体"/>
              <w:szCs w:val="24"/>
            </w:rPr>
            <w:fldChar w:fldCharType="end"/>
          </w:r>
        </w:p>
        <w:p w14:paraId="4013D29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_Toc24562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沟通信息内容</w:t>
          </w:r>
          <w:r>
            <w:tab/>
          </w:r>
          <w:r>
            <w:fldChar w:fldCharType="begin"/>
          </w:r>
          <w:r>
            <w:instrText xml:space="preserve"> PAGEREF _Toc24562 \h </w:instrText>
          </w:r>
          <w:r>
            <w:fldChar w:fldCharType="separate"/>
          </w:r>
          <w:r>
            <w:t>5</w:t>
          </w:r>
          <w:r>
            <w:fldChar w:fldCharType="end"/>
          </w:r>
          <w:r>
            <w:rPr>
              <w:rFonts w:hint="eastAsia" w:ascii="宋体" w:hAnsi="宋体" w:eastAsia="宋体" w:cs="宋体"/>
              <w:szCs w:val="24"/>
            </w:rPr>
            <w:fldChar w:fldCharType="end"/>
          </w:r>
        </w:p>
        <w:p w14:paraId="479C3A0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_Toc1312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信息的收集、处理与利用</w:t>
          </w:r>
          <w:r>
            <w:tab/>
          </w:r>
          <w:r>
            <w:fldChar w:fldCharType="begin"/>
          </w:r>
          <w:r>
            <w:instrText xml:space="preserve"> PAGEREF _Toc1312 \h </w:instrText>
          </w:r>
          <w:r>
            <w:fldChar w:fldCharType="separate"/>
          </w:r>
          <w:r>
            <w:t>5</w:t>
          </w:r>
          <w:r>
            <w:fldChar w:fldCharType="end"/>
          </w:r>
          <w:r>
            <w:rPr>
              <w:rFonts w:hint="eastAsia" w:ascii="宋体" w:hAnsi="宋体" w:eastAsia="宋体" w:cs="宋体"/>
              <w:szCs w:val="24"/>
            </w:rPr>
            <w:fldChar w:fldCharType="end"/>
          </w:r>
        </w:p>
        <w:p w14:paraId="3E8218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_Toc8070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协商与信息交流方式</w:t>
          </w:r>
          <w:r>
            <w:tab/>
          </w:r>
          <w:r>
            <w:fldChar w:fldCharType="begin"/>
          </w:r>
          <w:r>
            <w:instrText xml:space="preserve"> PAGEREF _Toc8070 \h </w:instrText>
          </w:r>
          <w:r>
            <w:fldChar w:fldCharType="separate"/>
          </w:r>
          <w:r>
            <w:t>6</w:t>
          </w:r>
          <w:r>
            <w:fldChar w:fldCharType="end"/>
          </w:r>
          <w:r>
            <w:rPr>
              <w:rFonts w:hint="eastAsia" w:ascii="宋体" w:hAnsi="宋体" w:eastAsia="宋体" w:cs="宋体"/>
              <w:szCs w:val="24"/>
            </w:rPr>
            <w:fldChar w:fldCharType="end"/>
          </w:r>
        </w:p>
        <w:p w14:paraId="18FF587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_Toc8623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沟通频次</w:t>
          </w:r>
          <w:r>
            <w:tab/>
          </w:r>
          <w:r>
            <w:fldChar w:fldCharType="begin"/>
          </w:r>
          <w:r>
            <w:instrText xml:space="preserve"> PAGEREF _Toc8623 \h </w:instrText>
          </w:r>
          <w:r>
            <w:fldChar w:fldCharType="separate"/>
          </w:r>
          <w:r>
            <w:t>6</w:t>
          </w:r>
          <w:r>
            <w:fldChar w:fldCharType="end"/>
          </w:r>
          <w:r>
            <w:rPr>
              <w:rFonts w:hint="eastAsia" w:ascii="宋体" w:hAnsi="宋体" w:eastAsia="宋体" w:cs="宋体"/>
              <w:szCs w:val="24"/>
            </w:rPr>
            <w:fldChar w:fldCharType="end"/>
          </w:r>
        </w:p>
        <w:p w14:paraId="071636A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_Toc6549 </w:instrText>
          </w:r>
          <w:r>
            <w:rPr>
              <w:rFonts w:hint="eastAsia" w:ascii="宋体" w:hAnsi="宋体" w:eastAsia="宋体" w:cs="宋体"/>
              <w:szCs w:val="24"/>
            </w:rPr>
            <w:fldChar w:fldCharType="separate"/>
          </w:r>
          <w:r>
            <w:rPr>
              <w:rFonts w:hint="default"/>
              <w:lang w:val="en-US" w:eastAsia="zh-CN"/>
            </w:rPr>
            <w:t xml:space="preserve">4.4.1. </w:t>
          </w:r>
          <w:r>
            <w:rPr>
              <w:rFonts w:hint="eastAsia"/>
              <w:lang w:val="en-US" w:eastAsia="zh-CN"/>
            </w:rPr>
            <w:t>例行沟通</w:t>
          </w:r>
          <w:r>
            <w:tab/>
          </w:r>
          <w:r>
            <w:fldChar w:fldCharType="begin"/>
          </w:r>
          <w:r>
            <w:instrText xml:space="preserve"> PAGEREF _Toc6549 \h </w:instrText>
          </w:r>
          <w:r>
            <w:fldChar w:fldCharType="separate"/>
          </w:r>
          <w:r>
            <w:t>6</w:t>
          </w:r>
          <w:r>
            <w:fldChar w:fldCharType="end"/>
          </w:r>
          <w:r>
            <w:rPr>
              <w:rFonts w:hint="eastAsia" w:ascii="宋体" w:hAnsi="宋体" w:eastAsia="宋体" w:cs="宋体"/>
              <w:szCs w:val="24"/>
            </w:rPr>
            <w:fldChar w:fldCharType="end"/>
          </w:r>
        </w:p>
        <w:p w14:paraId="0993305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_Toc8044 </w:instrText>
          </w:r>
          <w:r>
            <w:rPr>
              <w:rFonts w:hint="eastAsia" w:ascii="宋体" w:hAnsi="宋体" w:eastAsia="宋体" w:cs="宋体"/>
              <w:szCs w:val="24"/>
            </w:rPr>
            <w:fldChar w:fldCharType="separate"/>
          </w:r>
          <w:r>
            <w:rPr>
              <w:rFonts w:hint="default"/>
              <w:lang w:val="en-US" w:eastAsia="zh-CN"/>
            </w:rPr>
            <w:t xml:space="preserve">4.4.2. </w:t>
          </w:r>
          <w:r>
            <w:rPr>
              <w:rFonts w:hint="eastAsia"/>
              <w:lang w:val="en-US" w:eastAsia="zh-CN"/>
            </w:rPr>
            <w:t>事件驱动沟通</w:t>
          </w:r>
          <w:r>
            <w:tab/>
          </w:r>
          <w:r>
            <w:fldChar w:fldCharType="begin"/>
          </w:r>
          <w:r>
            <w:instrText xml:space="preserve"> PAGEREF _Toc8044 \h </w:instrText>
          </w:r>
          <w:r>
            <w:fldChar w:fldCharType="separate"/>
          </w:r>
          <w:r>
            <w:t>6</w:t>
          </w:r>
          <w:r>
            <w:fldChar w:fldCharType="end"/>
          </w:r>
          <w:r>
            <w:rPr>
              <w:rFonts w:hint="eastAsia" w:ascii="宋体" w:hAnsi="宋体" w:eastAsia="宋体" w:cs="宋体"/>
              <w:szCs w:val="24"/>
            </w:rPr>
            <w:fldChar w:fldCharType="end"/>
          </w:r>
        </w:p>
        <w:p w14:paraId="2C53007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_Toc19261 </w:instrText>
          </w:r>
          <w:r>
            <w:rPr>
              <w:rFonts w:hint="eastAsia" w:ascii="宋体" w:hAnsi="宋体" w:eastAsia="宋体" w:cs="宋体"/>
              <w:szCs w:val="24"/>
            </w:rPr>
            <w:fldChar w:fldCharType="separate"/>
          </w:r>
          <w:r>
            <w:rPr>
              <w:rFonts w:hint="default"/>
              <w:lang w:val="en-US" w:eastAsia="zh-CN"/>
            </w:rPr>
            <w:t xml:space="preserve">4.4.3. </w:t>
          </w:r>
          <w:r>
            <w:rPr>
              <w:rFonts w:hint="eastAsia"/>
              <w:lang w:val="en-US" w:eastAsia="zh-CN"/>
            </w:rPr>
            <w:t>专项沟通</w:t>
          </w:r>
          <w:r>
            <w:tab/>
          </w:r>
          <w:r>
            <w:fldChar w:fldCharType="begin"/>
          </w:r>
          <w:r>
            <w:instrText xml:space="preserve"> PAGEREF _Toc19261 \h </w:instrText>
          </w:r>
          <w:r>
            <w:fldChar w:fldCharType="separate"/>
          </w:r>
          <w:r>
            <w:t>6</w:t>
          </w:r>
          <w:r>
            <w:fldChar w:fldCharType="end"/>
          </w:r>
          <w:r>
            <w:rPr>
              <w:rFonts w:hint="eastAsia" w:ascii="宋体" w:hAnsi="宋体" w:eastAsia="宋体" w:cs="宋体"/>
              <w:szCs w:val="24"/>
            </w:rPr>
            <w:fldChar w:fldCharType="end"/>
          </w:r>
        </w:p>
        <w:p w14:paraId="67F3A7C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_Toc15865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沟通记录管理</w:t>
          </w:r>
          <w:r>
            <w:tab/>
          </w:r>
          <w:r>
            <w:fldChar w:fldCharType="begin"/>
          </w:r>
          <w:r>
            <w:instrText xml:space="preserve"> PAGEREF _Toc15865 \h </w:instrText>
          </w:r>
          <w:r>
            <w:fldChar w:fldCharType="separate"/>
          </w:r>
          <w:r>
            <w:t>7</w:t>
          </w:r>
          <w:r>
            <w:fldChar w:fldCharType="end"/>
          </w:r>
          <w:r>
            <w:rPr>
              <w:rFonts w:hint="eastAsia" w:ascii="宋体" w:hAnsi="宋体" w:eastAsia="宋体" w:cs="宋体"/>
              <w:szCs w:val="24"/>
            </w:rPr>
            <w:fldChar w:fldCharType="end"/>
          </w:r>
        </w:p>
        <w:p w14:paraId="598925B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_Toc14507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相关记录</w:t>
          </w:r>
          <w:r>
            <w:tab/>
          </w:r>
          <w:r>
            <w:fldChar w:fldCharType="begin"/>
          </w:r>
          <w:r>
            <w:instrText xml:space="preserve"> PAGEREF _Toc14507 \h </w:instrText>
          </w:r>
          <w:r>
            <w:fldChar w:fldCharType="separate"/>
          </w:r>
          <w:r>
            <w:t>7</w:t>
          </w:r>
          <w:r>
            <w:fldChar w:fldCharType="end"/>
          </w:r>
          <w:r>
            <w:rPr>
              <w:rFonts w:hint="eastAsia" w:ascii="宋体" w:hAnsi="宋体" w:eastAsia="宋体" w:cs="宋体"/>
              <w:szCs w:val="24"/>
            </w:rPr>
            <w:fldChar w:fldCharType="end"/>
          </w:r>
        </w:p>
        <w:p w14:paraId="495F7F5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5A37AE3">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83916E2">
      <w:pPr>
        <w:pStyle w:val="28"/>
        <w:bidi w:val="0"/>
        <w:rPr>
          <w:rFonts w:hint="eastAsia"/>
          <w:lang w:val="en-US" w:eastAsia="zh-CN"/>
        </w:rPr>
      </w:pPr>
      <w:bookmarkStart w:id="2" w:name="_Toc29201"/>
      <w:r>
        <w:rPr>
          <w:rFonts w:hint="eastAsia"/>
          <w:lang w:val="en-US" w:eastAsia="zh-CN"/>
        </w:rPr>
        <w:t>目的</w:t>
      </w:r>
      <w:bookmarkEnd w:id="2"/>
    </w:p>
    <w:p w14:paraId="2F238C23">
      <w:pPr>
        <w:pStyle w:val="29"/>
        <w:rPr>
          <w:rFonts w:hint="eastAsia"/>
          <w:lang w:val="en-US" w:eastAsia="zh-CN"/>
        </w:rPr>
      </w:pPr>
      <w:r>
        <w:rPr>
          <w:rFonts w:hint="eastAsia"/>
          <w:lang w:val="en-US" w:eastAsia="zh-CN"/>
        </w:rPr>
        <w:t>为建立规范、高效的内外部沟通机制，确保公司（供方）与客户（需方）及相关方之间的信息得到及时、准确、有效的传递与交流，充分理解并满足需方的服务诉求，提升服务透明度和客户满意度，保障运维服务工作的协同性与有效性，特制定本制度。</w:t>
      </w:r>
    </w:p>
    <w:p w14:paraId="15F9BE4F">
      <w:pPr>
        <w:pStyle w:val="28"/>
        <w:bidi w:val="0"/>
        <w:rPr>
          <w:rFonts w:hint="eastAsia"/>
          <w:lang w:val="en-US" w:eastAsia="zh-CN"/>
        </w:rPr>
      </w:pPr>
      <w:bookmarkStart w:id="3" w:name="_Toc29108"/>
      <w:r>
        <w:rPr>
          <w:rFonts w:hint="eastAsia"/>
          <w:lang w:val="en-US" w:eastAsia="zh-CN"/>
        </w:rPr>
        <w:t>适用范围</w:t>
      </w:r>
      <w:bookmarkEnd w:id="3"/>
    </w:p>
    <w:p w14:paraId="0F6A8985">
      <w:pPr>
        <w:pStyle w:val="29"/>
        <w:rPr>
          <w:rFonts w:hint="eastAsia"/>
          <w:lang w:val="en-US" w:eastAsia="zh-CN"/>
        </w:rPr>
      </w:pPr>
      <w:r>
        <w:rPr>
          <w:rFonts w:hint="eastAsia"/>
          <w:lang w:val="en-US" w:eastAsia="zh-CN"/>
        </w:rPr>
        <w:t>本制度适用于公司所有软件运维服务活动中，与需方及相关方就服务事项进行的协商、信息交流与沟通管理。</w:t>
      </w:r>
    </w:p>
    <w:p w14:paraId="726960F0">
      <w:pPr>
        <w:pStyle w:val="28"/>
        <w:bidi w:val="0"/>
        <w:rPr>
          <w:rFonts w:hint="eastAsia"/>
          <w:lang w:val="en-US" w:eastAsia="zh-CN"/>
        </w:rPr>
      </w:pPr>
      <w:bookmarkStart w:id="4" w:name="_Toc3194"/>
      <w:r>
        <w:rPr>
          <w:rFonts w:hint="eastAsia"/>
          <w:lang w:val="en-US" w:eastAsia="zh-CN"/>
        </w:rPr>
        <w:t>职责</w:t>
      </w:r>
      <w:bookmarkEnd w:id="4"/>
    </w:p>
    <w:p w14:paraId="6A2FCDCF">
      <w:pPr>
        <w:pStyle w:val="30"/>
        <w:bidi w:val="0"/>
        <w:rPr>
          <w:rFonts w:hint="eastAsia"/>
          <w:lang w:val="en-US" w:eastAsia="zh-CN"/>
        </w:rPr>
      </w:pPr>
      <w:bookmarkStart w:id="5" w:name="_Toc28747"/>
      <w:r>
        <w:rPr>
          <w:rFonts w:hint="eastAsia"/>
          <w:lang w:val="en-US" w:eastAsia="zh-CN"/>
        </w:rPr>
        <w:t>公司管理层</w:t>
      </w:r>
      <w:bookmarkEnd w:id="5"/>
    </w:p>
    <w:p w14:paraId="334E407F">
      <w:pPr>
        <w:pStyle w:val="29"/>
        <w:rPr>
          <w:rFonts w:hint="eastAsia"/>
          <w:lang w:val="en-US" w:eastAsia="zh-CN"/>
        </w:rPr>
      </w:pPr>
      <w:r>
        <w:rPr>
          <w:rFonts w:hint="eastAsia"/>
          <w:lang w:val="en-US" w:eastAsia="zh-CN"/>
        </w:rPr>
        <w:t>确保在公司内部及与需方、相关方之间建立并维护有效的沟通渠道，对沟通的有效性进行监督。</w:t>
      </w:r>
    </w:p>
    <w:p w14:paraId="0197C9B0">
      <w:pPr>
        <w:pStyle w:val="30"/>
        <w:bidi w:val="0"/>
        <w:rPr>
          <w:rFonts w:hint="eastAsia"/>
          <w:lang w:val="en-US" w:eastAsia="zh-CN"/>
        </w:rPr>
      </w:pPr>
      <w:bookmarkStart w:id="6" w:name="_Toc25820"/>
      <w:r>
        <w:rPr>
          <w:rFonts w:hint="eastAsia"/>
          <w:lang w:val="en-US" w:eastAsia="zh-CN"/>
        </w:rPr>
        <w:t>质量管理部</w:t>
      </w:r>
      <w:bookmarkEnd w:id="6"/>
    </w:p>
    <w:p w14:paraId="691C0130">
      <w:pPr>
        <w:pStyle w:val="29"/>
        <w:rPr>
          <w:rFonts w:hint="eastAsia"/>
          <w:lang w:val="en-US" w:eastAsia="zh-CN"/>
        </w:rPr>
      </w:pPr>
      <w:r>
        <w:rPr>
          <w:rFonts w:hint="eastAsia"/>
          <w:lang w:val="en-US" w:eastAsia="zh-CN"/>
        </w:rPr>
        <w:t>作为沟通管理的归口监督部门，负责监督本制度的执行，定期收集、处理和反馈内外部沟通信息，特别是需方满意度与意见。</w:t>
      </w:r>
    </w:p>
    <w:p w14:paraId="3C97074F">
      <w:pPr>
        <w:pStyle w:val="30"/>
        <w:bidi w:val="0"/>
        <w:rPr>
          <w:rFonts w:hint="eastAsia"/>
          <w:lang w:val="en-US" w:eastAsia="zh-CN"/>
        </w:rPr>
      </w:pPr>
      <w:bookmarkStart w:id="7" w:name="_Toc12751"/>
      <w:r>
        <w:rPr>
          <w:rFonts w:hint="eastAsia"/>
          <w:lang w:val="en-US" w:eastAsia="zh-CN"/>
        </w:rPr>
        <w:t>数智运营部</w:t>
      </w:r>
      <w:bookmarkEnd w:id="7"/>
    </w:p>
    <w:p w14:paraId="59B416AB">
      <w:pPr>
        <w:pStyle w:val="29"/>
        <w:rPr>
          <w:rFonts w:hint="eastAsia"/>
          <w:lang w:val="en-US" w:eastAsia="zh-CN"/>
        </w:rPr>
      </w:pPr>
      <w:r>
        <w:rPr>
          <w:rFonts w:hint="eastAsia"/>
          <w:lang w:val="en-US" w:eastAsia="zh-CN"/>
        </w:rPr>
        <w:t>数智运营部经理：负责部门层面与需方重要信息的审批与传递，确保沟通内容准确、及时。</w:t>
      </w:r>
    </w:p>
    <w:p w14:paraId="56AD6D7E">
      <w:pPr>
        <w:pStyle w:val="30"/>
        <w:bidi w:val="0"/>
        <w:rPr>
          <w:rFonts w:hint="eastAsia"/>
          <w:lang w:val="en-US" w:eastAsia="zh-CN"/>
        </w:rPr>
      </w:pPr>
      <w:bookmarkStart w:id="8" w:name="_Toc27378"/>
      <w:r>
        <w:rPr>
          <w:rFonts w:hint="eastAsia"/>
          <w:lang w:val="en-US" w:eastAsia="zh-CN"/>
        </w:rPr>
        <w:t>运维项目经理</w:t>
      </w:r>
      <w:bookmarkEnd w:id="8"/>
    </w:p>
    <w:p w14:paraId="57D5A559">
      <w:pPr>
        <w:pStyle w:val="29"/>
        <w:rPr>
          <w:rFonts w:hint="eastAsia"/>
          <w:lang w:val="en-US" w:eastAsia="zh-CN"/>
        </w:rPr>
      </w:pPr>
      <w:r>
        <w:rPr>
          <w:rFonts w:hint="eastAsia"/>
          <w:lang w:val="en-US" w:eastAsia="zh-CN"/>
        </w:rPr>
        <w:t>作为具体运维项目的需方沟通第一责任人，全面负责项目周期内与需方的日常沟通、需求确认、问题反馈、服务报告交付及关系维护。</w:t>
      </w:r>
    </w:p>
    <w:p w14:paraId="0C121FA4">
      <w:pPr>
        <w:pStyle w:val="28"/>
        <w:bidi w:val="0"/>
        <w:rPr>
          <w:rFonts w:hint="eastAsia"/>
          <w:lang w:val="en-US" w:eastAsia="zh-CN"/>
        </w:rPr>
      </w:pPr>
      <w:bookmarkStart w:id="9" w:name="_Toc16329"/>
      <w:r>
        <w:rPr>
          <w:rFonts w:hint="eastAsia"/>
          <w:lang w:val="en-US" w:eastAsia="zh-CN"/>
        </w:rPr>
        <w:t>工作程序</w:t>
      </w:r>
      <w:bookmarkEnd w:id="9"/>
    </w:p>
    <w:p w14:paraId="688F6D8B">
      <w:pPr>
        <w:pStyle w:val="30"/>
        <w:bidi w:val="0"/>
        <w:rPr>
          <w:rFonts w:hint="eastAsia"/>
          <w:lang w:val="en-US" w:eastAsia="zh-CN"/>
        </w:rPr>
      </w:pPr>
      <w:bookmarkStart w:id="10" w:name="_Toc24562"/>
      <w:r>
        <w:rPr>
          <w:rFonts w:hint="eastAsia"/>
          <w:lang w:val="en-US" w:eastAsia="zh-CN"/>
        </w:rPr>
        <w:t>沟通信息内容</w:t>
      </w:r>
      <w:bookmarkEnd w:id="10"/>
    </w:p>
    <w:p w14:paraId="1119C3B2">
      <w:pPr>
        <w:pStyle w:val="29"/>
        <w:rPr>
          <w:rFonts w:hint="eastAsia"/>
          <w:lang w:val="en-US" w:eastAsia="zh-CN"/>
        </w:rPr>
      </w:pPr>
      <w:r>
        <w:rPr>
          <w:rFonts w:hint="eastAsia"/>
          <w:lang w:val="en-US" w:eastAsia="zh-CN"/>
        </w:rPr>
        <w:t>内部沟通（公司各部门、各层级间）主要信息包括：</w:t>
      </w:r>
    </w:p>
    <w:p w14:paraId="0628A52A">
      <w:pPr>
        <w:pStyle w:val="29"/>
        <w:numPr>
          <w:ilvl w:val="0"/>
          <w:numId w:val="2"/>
        </w:numPr>
        <w:ind w:left="425" w:leftChars="0" w:hanging="425" w:firstLineChars="0"/>
        <w:rPr>
          <w:rFonts w:hint="eastAsia"/>
          <w:lang w:val="en-US" w:eastAsia="zh-CN"/>
        </w:rPr>
      </w:pPr>
      <w:r>
        <w:rPr>
          <w:rFonts w:hint="eastAsia"/>
          <w:lang w:val="en-US" w:eastAsia="zh-CN"/>
        </w:rPr>
        <w:t>公司质量方针、管理制度的发布、修订及执行情况。</w:t>
      </w:r>
    </w:p>
    <w:p w14:paraId="3CAB5E1F">
      <w:pPr>
        <w:pStyle w:val="29"/>
        <w:numPr>
          <w:ilvl w:val="0"/>
          <w:numId w:val="2"/>
        </w:numPr>
        <w:ind w:left="425" w:leftChars="0" w:hanging="425" w:firstLineChars="0"/>
        <w:rPr>
          <w:rFonts w:hint="eastAsia"/>
          <w:lang w:val="en-US" w:eastAsia="zh-CN"/>
        </w:rPr>
      </w:pPr>
      <w:r>
        <w:rPr>
          <w:rFonts w:hint="eastAsia"/>
          <w:lang w:val="en-US" w:eastAsia="zh-CN"/>
        </w:rPr>
        <w:t>运维服务管理体系绩效的监视和测量结果（如SLA/KPI达成情况）。</w:t>
      </w:r>
    </w:p>
    <w:p w14:paraId="5ECC4BF3">
      <w:pPr>
        <w:pStyle w:val="29"/>
        <w:numPr>
          <w:ilvl w:val="0"/>
          <w:numId w:val="2"/>
        </w:numPr>
        <w:ind w:left="425" w:leftChars="0" w:hanging="425" w:firstLineChars="0"/>
        <w:rPr>
          <w:rFonts w:hint="eastAsia"/>
          <w:lang w:val="en-US" w:eastAsia="zh-CN"/>
        </w:rPr>
      </w:pPr>
      <w:r>
        <w:rPr>
          <w:rFonts w:hint="eastAsia"/>
          <w:lang w:val="en-US" w:eastAsia="zh-CN"/>
        </w:rPr>
        <w:t>内部审核、管理评审的结果及改进要求的落实情况。</w:t>
      </w:r>
    </w:p>
    <w:p w14:paraId="606CB56F">
      <w:pPr>
        <w:pStyle w:val="29"/>
        <w:numPr>
          <w:ilvl w:val="0"/>
          <w:numId w:val="2"/>
        </w:numPr>
        <w:ind w:left="425" w:leftChars="0" w:hanging="425" w:firstLineChars="0"/>
        <w:rPr>
          <w:rFonts w:hint="eastAsia"/>
          <w:lang w:val="en-US" w:eastAsia="zh-CN"/>
        </w:rPr>
      </w:pPr>
      <w:r>
        <w:rPr>
          <w:rFonts w:hint="eastAsia"/>
          <w:lang w:val="en-US" w:eastAsia="zh-CN"/>
        </w:rPr>
        <w:t>重大客户投诉、重大服务事件的分析与处理进展。</w:t>
      </w:r>
    </w:p>
    <w:p w14:paraId="7B2F9533">
      <w:pPr>
        <w:pStyle w:val="29"/>
        <w:numPr>
          <w:ilvl w:val="0"/>
          <w:numId w:val="2"/>
        </w:numPr>
        <w:ind w:left="425" w:leftChars="0" w:hanging="425" w:firstLineChars="0"/>
        <w:rPr>
          <w:rFonts w:hint="eastAsia"/>
          <w:lang w:val="en-US" w:eastAsia="zh-CN"/>
        </w:rPr>
      </w:pPr>
      <w:r>
        <w:rPr>
          <w:rFonts w:hint="eastAsia"/>
          <w:lang w:val="en-US" w:eastAsia="zh-CN"/>
        </w:rPr>
        <w:t>《运维服务目录》的变更信息。</w:t>
      </w:r>
    </w:p>
    <w:p w14:paraId="5AE21472">
      <w:pPr>
        <w:pStyle w:val="29"/>
        <w:numPr>
          <w:ilvl w:val="0"/>
          <w:numId w:val="2"/>
        </w:numPr>
        <w:ind w:left="425" w:leftChars="0" w:hanging="425" w:firstLineChars="0"/>
        <w:rPr>
          <w:rFonts w:hint="eastAsia"/>
          <w:lang w:val="en-US" w:eastAsia="zh-CN"/>
        </w:rPr>
      </w:pPr>
      <w:r>
        <w:rPr>
          <w:rFonts w:hint="eastAsia"/>
          <w:lang w:val="en-US" w:eastAsia="zh-CN"/>
        </w:rPr>
        <w:t>需方及外部相关方的重大意见、要求或反馈。</w:t>
      </w:r>
    </w:p>
    <w:p w14:paraId="5375FDDF">
      <w:pPr>
        <w:pStyle w:val="29"/>
        <w:numPr>
          <w:ilvl w:val="0"/>
          <w:numId w:val="2"/>
        </w:numPr>
        <w:ind w:left="425" w:leftChars="0" w:hanging="425" w:firstLineChars="0"/>
        <w:rPr>
          <w:rFonts w:hint="eastAsia"/>
          <w:lang w:val="en-US" w:eastAsia="zh-CN"/>
        </w:rPr>
      </w:pPr>
      <w:r>
        <w:rPr>
          <w:rFonts w:hint="eastAsia"/>
          <w:lang w:val="en-US" w:eastAsia="zh-CN"/>
        </w:rPr>
        <w:t>影响服务有效性的其他重要内部信息（如技术风险、资源瓶颈等）。</w:t>
      </w:r>
    </w:p>
    <w:p w14:paraId="13143182">
      <w:pPr>
        <w:pStyle w:val="29"/>
        <w:rPr>
          <w:rFonts w:hint="eastAsia"/>
          <w:lang w:val="en-US" w:eastAsia="zh-CN"/>
        </w:rPr>
      </w:pPr>
      <w:r>
        <w:rPr>
          <w:rFonts w:hint="eastAsia"/>
          <w:lang w:val="en-US" w:eastAsia="zh-CN"/>
        </w:rPr>
        <w:t>4.1.2 外部沟通（与需方及相关方）主要信息包括：</w:t>
      </w:r>
    </w:p>
    <w:p w14:paraId="57690961">
      <w:pPr>
        <w:pStyle w:val="29"/>
        <w:rPr>
          <w:rFonts w:hint="eastAsia"/>
          <w:lang w:val="en-US" w:eastAsia="zh-CN"/>
        </w:rPr>
      </w:pPr>
      <w:r>
        <w:rPr>
          <w:rFonts w:hint="eastAsia"/>
          <w:lang w:val="en-US" w:eastAsia="zh-CN"/>
        </w:rPr>
        <w:t>* 服务级别协议（SLA）的履行情况、服务报告。</w:t>
      </w:r>
    </w:p>
    <w:p w14:paraId="18483D25">
      <w:pPr>
        <w:pStyle w:val="29"/>
        <w:rPr>
          <w:rFonts w:hint="eastAsia"/>
          <w:lang w:val="en-US" w:eastAsia="zh-CN"/>
        </w:rPr>
      </w:pPr>
      <w:r>
        <w:rPr>
          <w:rFonts w:hint="eastAsia"/>
          <w:lang w:val="en-US" w:eastAsia="zh-CN"/>
        </w:rPr>
        <w:t>* 服务变更（范围、时间、成本等）的提议、评审与批准。</w:t>
      </w:r>
    </w:p>
    <w:p w14:paraId="19C63A9B">
      <w:pPr>
        <w:pStyle w:val="29"/>
        <w:rPr>
          <w:rFonts w:hint="eastAsia"/>
          <w:lang w:val="en-US" w:eastAsia="zh-CN"/>
        </w:rPr>
      </w:pPr>
      <w:r>
        <w:rPr>
          <w:rFonts w:hint="eastAsia"/>
          <w:lang w:val="en-US" w:eastAsia="zh-CN"/>
        </w:rPr>
        <w:t>* 事件（特别是重大事件）的状态、处理进展与根本原因分析。</w:t>
      </w:r>
    </w:p>
    <w:p w14:paraId="7EB0B6D9">
      <w:pPr>
        <w:pStyle w:val="29"/>
        <w:rPr>
          <w:rFonts w:hint="eastAsia"/>
          <w:lang w:val="en-US" w:eastAsia="zh-CN"/>
        </w:rPr>
      </w:pPr>
      <w:r>
        <w:rPr>
          <w:rFonts w:hint="eastAsia"/>
          <w:lang w:val="en-US" w:eastAsia="zh-CN"/>
        </w:rPr>
        <w:t>* 需方提出的新需求、投诉、建议及表扬。</w:t>
      </w:r>
    </w:p>
    <w:p w14:paraId="3F1B9956">
      <w:pPr>
        <w:pStyle w:val="29"/>
        <w:rPr>
          <w:rFonts w:hint="eastAsia"/>
          <w:lang w:val="en-US" w:eastAsia="zh-CN"/>
        </w:rPr>
      </w:pPr>
      <w:r>
        <w:rPr>
          <w:rFonts w:hint="eastAsia"/>
          <w:lang w:val="en-US" w:eastAsia="zh-CN"/>
        </w:rPr>
        <w:t>* 定期服务评审会议的议题与决议。</w:t>
      </w:r>
    </w:p>
    <w:p w14:paraId="3B0298A2">
      <w:pPr>
        <w:pStyle w:val="29"/>
        <w:rPr>
          <w:rFonts w:hint="eastAsia"/>
          <w:lang w:val="en-US" w:eastAsia="zh-CN"/>
        </w:rPr>
      </w:pPr>
      <w:r>
        <w:rPr>
          <w:rFonts w:hint="eastAsia"/>
          <w:lang w:val="en-US" w:eastAsia="zh-CN"/>
        </w:rPr>
        <w:t>* 公司介绍、服务能力说明、相关政策调整等需知会需方的信息。</w:t>
      </w:r>
    </w:p>
    <w:p w14:paraId="643FBE64">
      <w:pPr>
        <w:pStyle w:val="29"/>
        <w:rPr>
          <w:rFonts w:hint="eastAsia"/>
          <w:lang w:val="en-US" w:eastAsia="zh-CN"/>
        </w:rPr>
      </w:pPr>
      <w:r>
        <w:rPr>
          <w:rFonts w:hint="eastAsia"/>
          <w:lang w:val="en-US" w:eastAsia="zh-CN"/>
        </w:rPr>
        <w:t>* 与服务质量相关的法律、法规及其他要求的变化。</w:t>
      </w:r>
    </w:p>
    <w:p w14:paraId="69572497">
      <w:pPr>
        <w:pStyle w:val="30"/>
        <w:bidi w:val="0"/>
        <w:rPr>
          <w:rFonts w:hint="eastAsia"/>
          <w:lang w:val="en-US" w:eastAsia="zh-CN"/>
        </w:rPr>
      </w:pPr>
      <w:bookmarkStart w:id="11" w:name="_Toc1312"/>
      <w:r>
        <w:rPr>
          <w:rFonts w:hint="eastAsia"/>
          <w:lang w:val="en-US" w:eastAsia="zh-CN"/>
        </w:rPr>
        <w:t>信息的收集、处理与利用</w:t>
      </w:r>
      <w:bookmarkEnd w:id="11"/>
    </w:p>
    <w:p w14:paraId="37DCB16D">
      <w:pPr>
        <w:pStyle w:val="29"/>
        <w:rPr>
          <w:rFonts w:hint="eastAsia"/>
          <w:lang w:val="en-US" w:eastAsia="zh-CN"/>
        </w:rPr>
      </w:pPr>
      <w:r>
        <w:rPr>
          <w:rFonts w:hint="eastAsia"/>
          <w:lang w:val="en-US" w:eastAsia="zh-CN"/>
        </w:rPr>
        <w:t>内部信息由产生部门负责记录、处理和传递。质量管理部定期主动收集各部门在服务过程中获得的需方反馈及改进建议，进行分析与分发。</w:t>
      </w:r>
    </w:p>
    <w:p w14:paraId="5234767E">
      <w:pPr>
        <w:pStyle w:val="29"/>
        <w:rPr>
          <w:rFonts w:hint="eastAsia"/>
          <w:lang w:val="en-US" w:eastAsia="zh-CN"/>
        </w:rPr>
      </w:pPr>
      <w:r>
        <w:rPr>
          <w:rFonts w:hint="eastAsia"/>
          <w:lang w:val="en-US" w:eastAsia="zh-CN"/>
        </w:rPr>
        <w:t>外部信息（主要来自需方）由首次接触部门（如服务台、运维项目经理）负责接收、记录于《信息交流处理单》，并依据信息性质进行处理或上报。确保需方的任何意见、要求都能得到及时响应与闭环处理。</w:t>
      </w:r>
    </w:p>
    <w:p w14:paraId="7B391E0A">
      <w:pPr>
        <w:pStyle w:val="30"/>
        <w:bidi w:val="0"/>
        <w:rPr>
          <w:rFonts w:hint="eastAsia"/>
          <w:lang w:val="en-US" w:eastAsia="zh-CN"/>
        </w:rPr>
      </w:pPr>
      <w:bookmarkStart w:id="12" w:name="_Toc8070"/>
      <w:r>
        <w:rPr>
          <w:rFonts w:hint="eastAsia"/>
          <w:lang w:val="en-US" w:eastAsia="zh-CN"/>
        </w:rPr>
        <w:t>协商与信息交流方式</w:t>
      </w:r>
      <w:bookmarkEnd w:id="12"/>
    </w:p>
    <w:p w14:paraId="149CC2CD">
      <w:pPr>
        <w:pStyle w:val="29"/>
        <w:rPr>
          <w:rFonts w:hint="eastAsia"/>
          <w:lang w:val="en-US" w:eastAsia="zh-CN"/>
        </w:rPr>
      </w:pPr>
      <w:r>
        <w:rPr>
          <w:rFonts w:hint="eastAsia"/>
          <w:lang w:val="en-US" w:eastAsia="zh-CN"/>
        </w:rPr>
        <w:t>内部沟通方式：包括但不限于公司文件/通知、例会（如部门周会）、专题会议、内部报告、内网公告、即时通讯工具、电子邮件等。</w:t>
      </w:r>
    </w:p>
    <w:p w14:paraId="403E48B5">
      <w:pPr>
        <w:pStyle w:val="29"/>
        <w:rPr>
          <w:rFonts w:hint="eastAsia"/>
          <w:lang w:val="en-US" w:eastAsia="zh-CN"/>
        </w:rPr>
      </w:pPr>
      <w:r>
        <w:rPr>
          <w:rFonts w:hint="eastAsia"/>
          <w:lang w:val="en-US" w:eastAsia="zh-CN"/>
        </w:rPr>
        <w:t>外部沟通方式：应根据沟通内容、紧急程度和需方偏好灵活选择，包括但不限于：</w:t>
      </w:r>
    </w:p>
    <w:p w14:paraId="1221FC5E">
      <w:pPr>
        <w:pStyle w:val="29"/>
        <w:numPr>
          <w:ilvl w:val="0"/>
          <w:numId w:val="3"/>
        </w:numPr>
        <w:ind w:left="425" w:leftChars="0" w:hanging="425" w:firstLineChars="0"/>
        <w:rPr>
          <w:rFonts w:hint="eastAsia"/>
          <w:lang w:val="en-US" w:eastAsia="zh-CN"/>
        </w:rPr>
      </w:pPr>
      <w:r>
        <w:rPr>
          <w:rFonts w:hint="eastAsia"/>
          <w:lang w:val="en-US" w:eastAsia="zh-CN"/>
        </w:rPr>
        <w:t>正式书面：服务报告、会议纪要、工作联络单、合同/协议变更文件。</w:t>
      </w:r>
    </w:p>
    <w:p w14:paraId="474B7529">
      <w:pPr>
        <w:pStyle w:val="29"/>
        <w:numPr>
          <w:ilvl w:val="0"/>
          <w:numId w:val="3"/>
        </w:numPr>
        <w:ind w:left="425" w:leftChars="0" w:hanging="425" w:firstLineChars="0"/>
        <w:rPr>
          <w:rFonts w:hint="eastAsia"/>
          <w:lang w:val="en-US" w:eastAsia="zh-CN"/>
        </w:rPr>
      </w:pPr>
      <w:r>
        <w:rPr>
          <w:rFonts w:hint="eastAsia"/>
          <w:lang w:val="en-US" w:eastAsia="zh-CN"/>
        </w:rPr>
        <w:t>会议：定期服务评审会、项目例会、专题研讨会、电话/视频会议。</w:t>
      </w:r>
    </w:p>
    <w:p w14:paraId="435FA86D">
      <w:pPr>
        <w:pStyle w:val="29"/>
        <w:numPr>
          <w:ilvl w:val="0"/>
          <w:numId w:val="3"/>
        </w:numPr>
        <w:ind w:left="425" w:leftChars="0" w:hanging="425" w:firstLineChars="0"/>
        <w:rPr>
          <w:rFonts w:hint="eastAsia"/>
          <w:lang w:val="en-US" w:eastAsia="zh-CN"/>
        </w:rPr>
      </w:pPr>
      <w:r>
        <w:rPr>
          <w:rFonts w:hint="eastAsia"/>
          <w:lang w:val="en-US" w:eastAsia="zh-CN"/>
        </w:rPr>
        <w:t>即时沟通：电话、企业微信/钉钉等即时通讯工具（用于日常事务沟通）。</w:t>
      </w:r>
    </w:p>
    <w:p w14:paraId="528174CD">
      <w:pPr>
        <w:pStyle w:val="29"/>
        <w:numPr>
          <w:ilvl w:val="0"/>
          <w:numId w:val="3"/>
        </w:numPr>
        <w:ind w:left="425" w:leftChars="0" w:hanging="425" w:firstLineChars="0"/>
        <w:rPr>
          <w:rFonts w:hint="eastAsia"/>
          <w:lang w:val="en-US" w:eastAsia="zh-CN"/>
        </w:rPr>
      </w:pPr>
      <w:r>
        <w:rPr>
          <w:rFonts w:hint="eastAsia"/>
          <w:lang w:val="en-US" w:eastAsia="zh-CN"/>
        </w:rPr>
        <w:t>面对面交流：定期/不定期走访、现场协调会。</w:t>
      </w:r>
    </w:p>
    <w:p w14:paraId="28D76986">
      <w:pPr>
        <w:pStyle w:val="29"/>
        <w:numPr>
          <w:ilvl w:val="0"/>
          <w:numId w:val="3"/>
        </w:numPr>
        <w:ind w:left="425" w:leftChars="0" w:hanging="425" w:firstLineChars="0"/>
        <w:rPr>
          <w:rFonts w:hint="eastAsia"/>
          <w:lang w:val="en-US" w:eastAsia="zh-CN"/>
        </w:rPr>
      </w:pPr>
      <w:r>
        <w:rPr>
          <w:rFonts w:hint="eastAsia"/>
          <w:lang w:val="en-US" w:eastAsia="zh-CN"/>
        </w:rPr>
        <w:t>运维项目经理是外部沟通的核心协调人，负责确保沟通渠道畅通，信息准确传达。</w:t>
      </w:r>
    </w:p>
    <w:p w14:paraId="1FEA6709">
      <w:pPr>
        <w:pStyle w:val="30"/>
        <w:bidi w:val="0"/>
        <w:rPr>
          <w:rFonts w:hint="eastAsia"/>
          <w:lang w:val="en-US" w:eastAsia="zh-CN"/>
        </w:rPr>
      </w:pPr>
      <w:bookmarkStart w:id="13" w:name="_Toc8623"/>
      <w:r>
        <w:rPr>
          <w:rFonts w:hint="eastAsia"/>
          <w:lang w:val="en-US" w:eastAsia="zh-CN"/>
        </w:rPr>
        <w:t>沟通频次</w:t>
      </w:r>
      <w:bookmarkEnd w:id="13"/>
    </w:p>
    <w:p w14:paraId="53848E6C">
      <w:pPr>
        <w:pStyle w:val="31"/>
        <w:bidi w:val="0"/>
        <w:rPr>
          <w:rFonts w:hint="eastAsia"/>
          <w:lang w:val="en-US" w:eastAsia="zh-CN"/>
        </w:rPr>
      </w:pPr>
      <w:bookmarkStart w:id="14" w:name="_Toc6549"/>
      <w:r>
        <w:rPr>
          <w:rFonts w:hint="eastAsia"/>
          <w:lang w:val="en-US" w:eastAsia="zh-CN"/>
        </w:rPr>
        <w:t>例行沟通</w:t>
      </w:r>
      <w:bookmarkEnd w:id="14"/>
    </w:p>
    <w:p w14:paraId="7C6D4DEB">
      <w:pPr>
        <w:pStyle w:val="29"/>
        <w:rPr>
          <w:rFonts w:hint="eastAsia"/>
          <w:lang w:val="en-US" w:eastAsia="zh-CN"/>
        </w:rPr>
      </w:pPr>
      <w:r>
        <w:rPr>
          <w:rFonts w:hint="eastAsia"/>
          <w:lang w:val="en-US" w:eastAsia="zh-CN"/>
        </w:rPr>
        <w:t>* 服务报告：按SLA约定周期（通常为月度/季度）提交。</w:t>
      </w:r>
    </w:p>
    <w:p w14:paraId="674325A4">
      <w:pPr>
        <w:pStyle w:val="29"/>
        <w:rPr>
          <w:rFonts w:hint="eastAsia"/>
          <w:lang w:val="en-US" w:eastAsia="zh-CN"/>
        </w:rPr>
      </w:pPr>
      <w:r>
        <w:rPr>
          <w:rFonts w:hint="eastAsia"/>
          <w:lang w:val="en-US" w:eastAsia="zh-CN"/>
        </w:rPr>
        <w:t>* 服务评审会议：至少每季度一次，与需方回顾服务绩效，讨论改进措施。</w:t>
      </w:r>
    </w:p>
    <w:p w14:paraId="6130A33C">
      <w:pPr>
        <w:pStyle w:val="29"/>
        <w:rPr>
          <w:rFonts w:hint="eastAsia"/>
          <w:lang w:val="en-US" w:eastAsia="zh-CN"/>
        </w:rPr>
      </w:pPr>
      <w:r>
        <w:rPr>
          <w:rFonts w:hint="eastAsia"/>
          <w:lang w:val="en-US" w:eastAsia="zh-CN"/>
        </w:rPr>
        <w:t>* 项目例会：根据项目需要定期召开（如双周会）。</w:t>
      </w:r>
    </w:p>
    <w:p w14:paraId="57E27150">
      <w:pPr>
        <w:pStyle w:val="31"/>
        <w:bidi w:val="0"/>
        <w:rPr>
          <w:rFonts w:hint="eastAsia"/>
          <w:lang w:val="en-US" w:eastAsia="zh-CN"/>
        </w:rPr>
      </w:pPr>
      <w:bookmarkStart w:id="15" w:name="_Toc8044"/>
      <w:r>
        <w:rPr>
          <w:rFonts w:hint="eastAsia"/>
          <w:lang w:val="en-US" w:eastAsia="zh-CN"/>
        </w:rPr>
        <w:t>事件驱动沟通</w:t>
      </w:r>
      <w:bookmarkEnd w:id="15"/>
    </w:p>
    <w:p w14:paraId="20A646DE">
      <w:pPr>
        <w:pStyle w:val="29"/>
        <w:rPr>
          <w:rFonts w:hint="eastAsia"/>
          <w:lang w:val="en-US" w:eastAsia="zh-CN"/>
        </w:rPr>
      </w:pPr>
      <w:r>
        <w:rPr>
          <w:rFonts w:hint="eastAsia"/>
          <w:lang w:val="en-US" w:eastAsia="zh-CN"/>
        </w:rPr>
        <w:t>对于服务请求、事件（尤其是重大事件）、变更等，严格按照相关流程定义的时限和要求进行沟通。</w:t>
      </w:r>
    </w:p>
    <w:p w14:paraId="5D65CF1B">
      <w:pPr>
        <w:pStyle w:val="31"/>
        <w:bidi w:val="0"/>
        <w:rPr>
          <w:rFonts w:hint="eastAsia"/>
          <w:lang w:val="en-US" w:eastAsia="zh-CN"/>
        </w:rPr>
      </w:pPr>
      <w:bookmarkStart w:id="16" w:name="_Toc19261"/>
      <w:r>
        <w:rPr>
          <w:rFonts w:hint="eastAsia"/>
          <w:lang w:val="en-US" w:eastAsia="zh-CN"/>
        </w:rPr>
        <w:t>专项沟通</w:t>
      </w:r>
      <w:bookmarkEnd w:id="16"/>
    </w:p>
    <w:p w14:paraId="296A9C62">
      <w:pPr>
        <w:pStyle w:val="29"/>
        <w:rPr>
          <w:rFonts w:hint="eastAsia"/>
          <w:lang w:val="en-US" w:eastAsia="zh-CN"/>
        </w:rPr>
      </w:pPr>
      <w:r>
        <w:rPr>
          <w:rFonts w:hint="eastAsia"/>
          <w:lang w:val="en-US" w:eastAsia="zh-CN"/>
        </w:rPr>
        <w:t>如服务范围变更、合同续签、年度满意度调查等，按需安排。</w:t>
      </w:r>
    </w:p>
    <w:p w14:paraId="0850892A">
      <w:pPr>
        <w:pStyle w:val="30"/>
        <w:bidi w:val="0"/>
        <w:rPr>
          <w:rFonts w:hint="eastAsia"/>
          <w:lang w:val="en-US" w:eastAsia="zh-CN"/>
        </w:rPr>
      </w:pPr>
      <w:bookmarkStart w:id="17" w:name="_Toc15865"/>
      <w:r>
        <w:rPr>
          <w:rFonts w:hint="eastAsia"/>
          <w:lang w:val="en-US" w:eastAsia="zh-CN"/>
        </w:rPr>
        <w:t>沟通记录管理</w:t>
      </w:r>
      <w:bookmarkEnd w:id="17"/>
    </w:p>
    <w:p w14:paraId="3E5D6C8A">
      <w:pPr>
        <w:pStyle w:val="29"/>
        <w:bidi w:val="0"/>
        <w:rPr>
          <w:rFonts w:hint="eastAsia"/>
          <w:lang w:val="en-US" w:eastAsia="zh-CN"/>
        </w:rPr>
      </w:pPr>
      <w:r>
        <w:rPr>
          <w:rFonts w:hint="eastAsia"/>
          <w:lang w:val="en-US" w:eastAsia="zh-CN"/>
        </w:rPr>
        <w:t>所有正式的、重要的内外部沟通，特别是与需方的会议、关键决策、需求确认、投诉处理等，均应保留可追溯的记录。记录形式包括会议纪要、邮件归档、《信息交流处理单》、签收单等。相关记录由责任部门妥善保存，并按要求归档。</w:t>
      </w:r>
    </w:p>
    <w:p w14:paraId="4D6B3D29">
      <w:pPr>
        <w:pStyle w:val="28"/>
        <w:bidi w:val="0"/>
        <w:rPr>
          <w:rFonts w:hint="eastAsia"/>
          <w:lang w:val="en-US" w:eastAsia="zh-CN"/>
        </w:rPr>
      </w:pPr>
      <w:bookmarkStart w:id="18" w:name="_Toc14507"/>
      <w:r>
        <w:rPr>
          <w:rFonts w:hint="eastAsia"/>
          <w:lang w:val="en-US" w:eastAsia="zh-CN"/>
        </w:rPr>
        <w:t>相关记录</w:t>
      </w:r>
      <w:bookmarkEnd w:id="18"/>
    </w:p>
    <w:p w14:paraId="4BB45B25">
      <w:pPr>
        <w:pStyle w:val="29"/>
        <w:numPr>
          <w:ilvl w:val="0"/>
          <w:numId w:val="4"/>
        </w:numPr>
        <w:ind w:left="425" w:leftChars="0" w:hanging="425" w:firstLineChars="0"/>
        <w:rPr>
          <w:rFonts w:hint="eastAsia"/>
          <w:lang w:val="en-US" w:eastAsia="zh-CN"/>
        </w:rPr>
      </w:pPr>
      <w:r>
        <w:rPr>
          <w:rFonts w:hint="eastAsia"/>
          <w:lang w:val="en-US" w:eastAsia="zh-CN"/>
        </w:rPr>
        <w:t>《信息交流处理单》</w:t>
      </w:r>
    </w:p>
    <w:p w14:paraId="5B9D03E7">
      <w:pPr>
        <w:pStyle w:val="29"/>
        <w:numPr>
          <w:ilvl w:val="0"/>
          <w:numId w:val="4"/>
        </w:numPr>
        <w:ind w:left="425" w:leftChars="0" w:hanging="425" w:firstLineChars="0"/>
        <w:rPr>
          <w:rFonts w:hint="eastAsia"/>
          <w:lang w:val="en-US" w:eastAsia="zh-CN"/>
        </w:rPr>
      </w:pPr>
      <w:r>
        <w:rPr>
          <w:rFonts w:hint="eastAsia"/>
          <w:lang w:val="en-US" w:eastAsia="zh-CN"/>
        </w:rPr>
        <w:t>《服务评审会议纪要》</w:t>
      </w:r>
    </w:p>
    <w:p w14:paraId="77380B6C">
      <w:pPr>
        <w:pStyle w:val="29"/>
        <w:numPr>
          <w:ilvl w:val="0"/>
          <w:numId w:val="4"/>
        </w:numPr>
        <w:ind w:left="425" w:leftChars="0" w:hanging="425" w:firstLineChars="0"/>
        <w:rPr>
          <w:rFonts w:hint="eastAsia"/>
          <w:lang w:val="en-US" w:eastAsia="zh-CN"/>
        </w:rPr>
      </w:pPr>
      <w:r>
        <w:rPr>
          <w:rFonts w:hint="eastAsia"/>
          <w:lang w:val="en-US" w:eastAsia="zh-CN"/>
        </w:rPr>
        <w:t>《客户沟通记录表》</w:t>
      </w:r>
    </w:p>
    <w:p w14:paraId="479CDD80">
      <w:pPr>
        <w:pStyle w:val="29"/>
        <w:numPr>
          <w:ilvl w:val="0"/>
          <w:numId w:val="4"/>
        </w:numPr>
        <w:ind w:left="425" w:leftChars="0" w:hanging="425" w:firstLineChars="0"/>
        <w:rPr>
          <w:rFonts w:hint="eastAsia"/>
          <w:lang w:val="en-US" w:eastAsia="zh-CN"/>
        </w:rPr>
      </w:pPr>
      <w:r>
        <w:rPr>
          <w:rFonts w:hint="eastAsia"/>
          <w:lang w:val="en-US" w:eastAsia="zh-CN"/>
        </w:rPr>
        <w:t>《需方项目联系人清单》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7687">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11BE283B"/>
    <w:multiLevelType w:val="singleLevel"/>
    <w:tmpl w:val="11BE283B"/>
    <w:lvl w:ilvl="0" w:tentative="0">
      <w:start w:val="1"/>
      <w:numFmt w:val="decimal"/>
      <w:lvlText w:val="%1."/>
      <w:lvlJc w:val="left"/>
      <w:pPr>
        <w:ind w:left="425" w:hanging="425"/>
      </w:pPr>
      <w:rPr>
        <w:rFonts w:hint="default"/>
      </w:rPr>
    </w:lvl>
  </w:abstractNum>
  <w:abstractNum w:abstractNumId="2">
    <w:nsid w:val="1CA59CB0"/>
    <w:multiLevelType w:val="singleLevel"/>
    <w:tmpl w:val="1CA59CB0"/>
    <w:lvl w:ilvl="0" w:tentative="0">
      <w:start w:val="1"/>
      <w:numFmt w:val="decimal"/>
      <w:lvlText w:val="%1."/>
      <w:lvlJc w:val="left"/>
      <w:pPr>
        <w:ind w:left="425" w:hanging="425"/>
      </w:pPr>
      <w:rPr>
        <w:rFonts w:hint="default"/>
      </w:rPr>
    </w:lvl>
  </w:abstractNum>
  <w:abstractNum w:abstractNumId="3">
    <w:nsid w:val="275EF6BE"/>
    <w:multiLevelType w:val="singleLevel"/>
    <w:tmpl w:val="275EF6BE"/>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4976B0"/>
    <w:rsid w:val="0D6D65D1"/>
    <w:rsid w:val="15C416DC"/>
    <w:rsid w:val="1CD50B3B"/>
    <w:rsid w:val="1E5368D4"/>
    <w:rsid w:val="244C0E2C"/>
    <w:rsid w:val="2DC55411"/>
    <w:rsid w:val="361F0A9E"/>
    <w:rsid w:val="3A3E6C77"/>
    <w:rsid w:val="3D9F17DB"/>
    <w:rsid w:val="47A64699"/>
    <w:rsid w:val="4F6E725F"/>
    <w:rsid w:val="59E87BEC"/>
    <w:rsid w:val="5E6D6AEC"/>
    <w:rsid w:val="6762247B"/>
    <w:rsid w:val="6EEF1D13"/>
    <w:rsid w:val="6F357008"/>
    <w:rsid w:val="70E87D2E"/>
    <w:rsid w:val="7A8C2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1732</Words>
  <Characters>1848</Characters>
  <Lines>0</Lines>
  <Paragraphs>0</Paragraphs>
  <TotalTime>0</TotalTime>
  <ScaleCrop>false</ScaleCrop>
  <LinksUpToDate>false</LinksUpToDate>
  <CharactersWithSpaces>1933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2026-01-16T18:55:06Z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