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B143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78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6612D79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3825"/>
      <w:r>
        <w:rPr>
          <w:rFonts w:hint="eastAsia"/>
          <w:lang w:val="en-US" w:eastAsia="zh-CN"/>
        </w:rPr>
        <w:t>运维服务管评管理制度</w:t>
      </w:r>
      <w:bookmarkEnd w:id="1"/>
    </w:p>
    <w:p w14:paraId="3906E35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4624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CEA73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306EE7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AAE5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68FAA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BC947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1B4E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4B2D6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0E8ED9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6AB7921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9F234E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A0DE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4B49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C53D39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2635A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0BCE3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D2ED2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4613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E305B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3B2F7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44C0E9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E5B2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81743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张翔</w:t>
            </w:r>
          </w:p>
        </w:tc>
        <w:tc>
          <w:tcPr>
            <w:tcW w:w="1606" w:type="dxa"/>
          </w:tcPr>
          <w:p w14:paraId="57AC4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524DA1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371269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EB22C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AC73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1EF4F2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B1B2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31296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A21871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694D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48D89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AD96C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A69323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461D7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02846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82D0DD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D13F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0CBBD1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B9EA0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0F911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C94E1E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342AE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9570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CA8401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7" w:name="_GoBack"/>
      <w:bookmarkEnd w:id="17"/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0F344F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t>目录</w:t>
          </w:r>
        </w:p>
        <w:p w14:paraId="42EF544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_Toc19789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_Toc19789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9833C7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_Toc13825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运维服务管评管理制度</w:t>
          </w:r>
          <w:r>
            <w:tab/>
          </w:r>
          <w:r>
            <w:fldChar w:fldCharType="begin"/>
          </w:r>
          <w:r>
            <w:instrText xml:space="preserve"> PAGEREF _Toc13825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40E2A9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_Toc23162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_Toc23162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AC63AF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_Toc7874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_Toc7874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75ED40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_Toc5250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_Toc5250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323742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_Toc9318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3.1. 总经理</w:t>
          </w:r>
          <w:r>
            <w:tab/>
          </w:r>
          <w:r>
            <w:fldChar w:fldCharType="begin"/>
          </w:r>
          <w:r>
            <w:instrText xml:space="preserve"> PAGEREF _Toc9318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4A2C71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_Toc13952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3.2. 质量管理部</w:t>
          </w:r>
          <w:r>
            <w:tab/>
          </w:r>
          <w:r>
            <w:fldChar w:fldCharType="begin"/>
          </w:r>
          <w:r>
            <w:instrText xml:space="preserve"> PAGEREF _Toc13952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61622B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_Toc15185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3.3. 各相关部门（数智运营部、研究总院、人力部、应急管理部等）</w:t>
          </w:r>
          <w:r>
            <w:tab/>
          </w:r>
          <w:r>
            <w:fldChar w:fldCharType="begin"/>
          </w:r>
          <w:r>
            <w:instrText xml:space="preserve"> PAGEREF _Toc15185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25C24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_Toc14896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 工作程序</w:t>
          </w:r>
          <w:r>
            <w:tab/>
          </w:r>
          <w:r>
            <w:fldChar w:fldCharType="begin"/>
          </w:r>
          <w:r>
            <w:instrText xml:space="preserve"> PAGEREF _Toc14896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1CACB3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_Toc6545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评审策划</w:t>
          </w:r>
          <w:r>
            <w:tab/>
          </w:r>
          <w:r>
            <w:fldChar w:fldCharType="begin"/>
          </w:r>
          <w:r>
            <w:instrText xml:space="preserve"> PAGEREF _Toc6545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9A21F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_Toc7073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评审输入准备</w:t>
          </w:r>
          <w:r>
            <w:tab/>
          </w:r>
          <w:r>
            <w:fldChar w:fldCharType="begin"/>
          </w:r>
          <w:r>
            <w:instrText xml:space="preserve"> PAGEREF _Toc7073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10286F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_Toc22603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评审会议实施</w:t>
          </w:r>
          <w:r>
            <w:tab/>
          </w:r>
          <w:r>
            <w:fldChar w:fldCharType="begin"/>
          </w:r>
          <w:r>
            <w:instrText xml:space="preserve"> PAGEREF _Toc22603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ABD445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_Toc12142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 评审输出与报告</w:t>
          </w:r>
          <w:r>
            <w:tab/>
          </w:r>
          <w:r>
            <w:fldChar w:fldCharType="begin"/>
          </w:r>
          <w:r>
            <w:instrText xml:space="preserve"> PAGEREF _Toc12142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EFB638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_Toc16780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 改进措施的跟踪与验证</w:t>
          </w:r>
          <w:r>
            <w:tab/>
          </w:r>
          <w:r>
            <w:fldChar w:fldCharType="begin"/>
          </w:r>
          <w:r>
            <w:instrText xml:space="preserve"> PAGEREF _Toc16780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024CA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_Toc18383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4.6. 文件与记录管理</w:t>
          </w:r>
          <w:r>
            <w:tab/>
          </w:r>
          <w:r>
            <w:fldChar w:fldCharType="begin"/>
          </w:r>
          <w:r>
            <w:instrText xml:space="preserve"> PAGEREF _Toc18383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8EA780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_Toc13733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5. 相关记录</w:t>
          </w:r>
          <w:r>
            <w:tab/>
          </w:r>
          <w:r>
            <w:fldChar w:fldCharType="begin"/>
          </w:r>
          <w:r>
            <w:instrText xml:space="preserve"> PAGEREF _Toc13733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C7DFE8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_Toc1779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_Toc1779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A8D1D1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</w:sdtContent>
    </w:sdt>
    <w:p w14:paraId="042D58B2">
      <w:r>
        <w:rPr>
          <w:rFonts w:hint="eastAsia"/>
          <w:lang w:val="en-US" w:eastAsia="zh-CN"/>
        </w:rPr>
        <w:br w:type="page"/>
      </w:r>
    </w:p>
    <w:p w14:paraId="4A279074">
      <w:pPr>
        <w:pStyle w:val="28"/>
        <w:bidi w:val="0"/>
        <w:rPr>
          <w:rFonts w:hint="default"/>
          <w:lang w:val="en-US" w:eastAsia="zh-CN"/>
        </w:rPr>
      </w:pPr>
      <w:bookmarkStart w:id="2" w:name="_Toc23162"/>
      <w:r>
        <w:rPr>
          <w:rFonts w:hint="default"/>
          <w:lang w:val="en-US" w:eastAsia="zh-CN"/>
        </w:rPr>
        <w:t>目的</w:t>
      </w:r>
      <w:bookmarkEnd w:id="2"/>
    </w:p>
    <w:p w14:paraId="083ECC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为确保公司软件运维服务质量管理体系持续保持其适宜性、充分性和有效性，定期对体系的整体绩效进行系统性评价，识别改进与变革的机会，配置必要资源，推动服务战略与目标的实现，特制定本制度。</w:t>
      </w:r>
    </w:p>
    <w:p w14:paraId="69695036">
      <w:pPr>
        <w:pStyle w:val="28"/>
        <w:bidi w:val="0"/>
        <w:rPr>
          <w:rFonts w:hint="default"/>
          <w:lang w:val="en-US" w:eastAsia="zh-CN"/>
        </w:rPr>
      </w:pPr>
      <w:bookmarkStart w:id="3" w:name="_Toc7874"/>
      <w:r>
        <w:rPr>
          <w:rFonts w:hint="default"/>
          <w:lang w:val="en-US" w:eastAsia="zh-CN"/>
        </w:rPr>
        <w:t>适用范围</w:t>
      </w:r>
      <w:bookmarkEnd w:id="3"/>
    </w:p>
    <w:p w14:paraId="7B4908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本制度适用于对公司软件运维服务质量管理体系的评审活动。</w:t>
      </w:r>
    </w:p>
    <w:p w14:paraId="01D3FA52">
      <w:pPr>
        <w:pStyle w:val="28"/>
        <w:bidi w:val="0"/>
        <w:rPr>
          <w:rFonts w:hint="default"/>
          <w:lang w:val="en-US" w:eastAsia="zh-CN"/>
        </w:rPr>
      </w:pPr>
      <w:bookmarkStart w:id="4" w:name="_Toc5250"/>
      <w:r>
        <w:rPr>
          <w:rFonts w:hint="default"/>
          <w:lang w:val="en-US" w:eastAsia="zh-CN"/>
        </w:rPr>
        <w:t>职责</w:t>
      </w:r>
      <w:bookmarkEnd w:id="4"/>
    </w:p>
    <w:p w14:paraId="4AFF3650">
      <w:pPr>
        <w:pStyle w:val="30"/>
        <w:bidi w:val="0"/>
        <w:rPr>
          <w:rFonts w:hint="default"/>
          <w:lang w:val="en-US" w:eastAsia="zh-CN"/>
        </w:rPr>
      </w:pPr>
      <w:bookmarkStart w:id="5" w:name="_Toc9318"/>
      <w:r>
        <w:rPr>
          <w:rFonts w:hint="default"/>
          <w:lang w:val="en-US" w:eastAsia="zh-CN"/>
        </w:rPr>
        <w:t>总经理</w:t>
      </w:r>
      <w:bookmarkEnd w:id="5"/>
    </w:p>
    <w:p w14:paraId="2CC9D07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负责主持管理评审会议，批准《管理评审计划》与《管理评审报告》，并推动评审决议的执行。</w:t>
      </w:r>
    </w:p>
    <w:p w14:paraId="76D05A01">
      <w:pPr>
        <w:pStyle w:val="30"/>
        <w:bidi w:val="0"/>
        <w:rPr>
          <w:rFonts w:hint="default"/>
          <w:lang w:val="en-US" w:eastAsia="zh-CN"/>
        </w:rPr>
      </w:pPr>
      <w:bookmarkStart w:id="6" w:name="_Toc13952"/>
      <w:r>
        <w:rPr>
          <w:rFonts w:hint="default"/>
          <w:lang w:val="en-US" w:eastAsia="zh-CN"/>
        </w:rPr>
        <w:t>质量管理部</w:t>
      </w:r>
      <w:bookmarkEnd w:id="6"/>
    </w:p>
    <w:p w14:paraId="494B28D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作为归口部门，负责编制《管理评审计划》与《管理评审报告》；负责评审前资料的收集、整理与分发；负责评审会议的组织、记录及决议的跟踪验证；负责评审资料的归档。</w:t>
      </w:r>
    </w:p>
    <w:p w14:paraId="2B2EA88A">
      <w:pPr>
        <w:pStyle w:val="30"/>
        <w:bidi w:val="0"/>
        <w:rPr>
          <w:rFonts w:hint="default"/>
          <w:lang w:val="en-US" w:eastAsia="zh-CN"/>
        </w:rPr>
      </w:pPr>
      <w:bookmarkStart w:id="7" w:name="_Toc15185"/>
      <w:r>
        <w:rPr>
          <w:rFonts w:hint="default"/>
          <w:lang w:val="en-US" w:eastAsia="zh-CN"/>
        </w:rPr>
        <w:t>各相关部门（数智运营部、研究总院、人力部、应急管理部等）</w:t>
      </w:r>
      <w:bookmarkEnd w:id="7"/>
    </w:p>
    <w:p w14:paraId="7AD89D6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各负责人需根据评审计划准备并提交本部门职责相关的输入材料；参加评审会议，参与讨论与决策；负责落实评审决议中与本部门相关的改进措施。</w:t>
      </w:r>
    </w:p>
    <w:p w14:paraId="4B0C7E95">
      <w:pPr>
        <w:pStyle w:val="28"/>
        <w:bidi w:val="0"/>
        <w:rPr>
          <w:rFonts w:hint="default"/>
          <w:lang w:val="en-US" w:eastAsia="zh-CN"/>
        </w:rPr>
      </w:pPr>
      <w:bookmarkStart w:id="8" w:name="_Toc14896"/>
      <w:r>
        <w:rPr>
          <w:rFonts w:hint="default"/>
          <w:lang w:val="en-US" w:eastAsia="zh-CN"/>
        </w:rPr>
        <w:t>工作程序</w:t>
      </w:r>
      <w:bookmarkEnd w:id="8"/>
    </w:p>
    <w:p w14:paraId="1D5774A1">
      <w:pPr>
        <w:pStyle w:val="30"/>
        <w:bidi w:val="0"/>
        <w:rPr>
          <w:rFonts w:hint="default"/>
          <w:lang w:val="en-US" w:eastAsia="zh-CN"/>
        </w:rPr>
      </w:pPr>
      <w:bookmarkStart w:id="9" w:name="_Toc6545"/>
      <w:r>
        <w:rPr>
          <w:rFonts w:hint="default"/>
          <w:lang w:val="en-US" w:eastAsia="zh-CN"/>
        </w:rPr>
        <w:t>评审策划</w:t>
      </w:r>
      <w:bookmarkEnd w:id="9"/>
    </w:p>
    <w:p w14:paraId="63BC852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例行评审：公司每年至少举行一次全面的管理评审，通常安排在年底或年初，以评估年度体系绩效并规划下一年度工作。</w:t>
      </w:r>
    </w:p>
    <w:p w14:paraId="308962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计划制定：每次评审前，质量管理部负责编制《管理评审计划》，明确评审目的、内容、范围、时间、与会人员及需准备的输入资料，报总经理批准后下发。</w:t>
      </w:r>
    </w:p>
    <w:p w14:paraId="3774E83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临时评审：当出现以下特殊情况时，总经理可决定增加临时管理评审：</w:t>
      </w:r>
    </w:p>
    <w:p w14:paraId="50622F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公司组织结构、战略方针或业务范围发生重大调整。</w:t>
      </w:r>
    </w:p>
    <w:p w14:paraId="5CF9897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发生重大服务质量事故或客户持续严重投诉。</w:t>
      </w:r>
    </w:p>
    <w:p w14:paraId="14D00C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内外部环境（如法规、技术、市场）发生重大变化。</w:t>
      </w:r>
    </w:p>
    <w:p w14:paraId="17D569D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内部审核发现系统性或严重不符合项。</w:t>
      </w:r>
    </w:p>
    <w:p w14:paraId="5FA009AA">
      <w:pPr>
        <w:pStyle w:val="30"/>
        <w:bidi w:val="0"/>
        <w:rPr>
          <w:rFonts w:hint="default"/>
          <w:lang w:val="en-US" w:eastAsia="zh-CN"/>
        </w:rPr>
      </w:pPr>
      <w:bookmarkStart w:id="10" w:name="_Toc7073"/>
      <w:r>
        <w:rPr>
          <w:rFonts w:hint="default"/>
          <w:lang w:val="en-US" w:eastAsia="zh-CN"/>
        </w:rPr>
        <w:t>评审输入准备</w:t>
      </w:r>
      <w:bookmarkEnd w:id="10"/>
    </w:p>
    <w:p w14:paraId="2B53AD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管理评审的输入信息应全面、客观，为评价体系绩效提供依据，通常包括（但不限于）：</w:t>
      </w:r>
    </w:p>
    <w:p w14:paraId="4608776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内外部审核结果：包括内部审核报告、外部（客户或认证机构）审核结论。</w:t>
      </w:r>
    </w:p>
    <w:p w14:paraId="2E61163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客户反馈：客户满意度调查分析报告、客户投诉处理与分析报告、日常沟通记录。</w:t>
      </w:r>
    </w:p>
    <w:p w14:paraId="2F84228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过程绩效与趋势：服务级别协议（SLA）及关键绩效指标（KPI）的达成情况、数据分析报告、服务趋势。</w:t>
      </w:r>
    </w:p>
    <w:p w14:paraId="5F9AB4C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纠正与预防措施状况：针对以往不合格项、投诉、审核发现所采取的措施及其有效性的验证情况。</w:t>
      </w:r>
    </w:p>
    <w:p w14:paraId="6A98A11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以往评审的跟踪：上一次管理评审决议的落实情况。</w:t>
      </w:r>
    </w:p>
    <w:p w14:paraId="3660CBD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变化的影响：可能影响体系的内外部因素变化，如法规更新、技术变革、市场需求、组织调整等。</w:t>
      </w:r>
    </w:p>
    <w:p w14:paraId="7606D5D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改进建议：来自各部门及员工的改进提议。</w:t>
      </w:r>
    </w:p>
    <w:p w14:paraId="4A6C200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各相关部门需按计划准备并提交上述输入材料。</w:t>
      </w:r>
    </w:p>
    <w:p w14:paraId="2C9782A5">
      <w:pPr>
        <w:pStyle w:val="30"/>
        <w:bidi w:val="0"/>
        <w:rPr>
          <w:rFonts w:hint="default"/>
          <w:lang w:val="en-US" w:eastAsia="zh-CN"/>
        </w:rPr>
      </w:pPr>
      <w:bookmarkStart w:id="11" w:name="_Toc22603"/>
      <w:r>
        <w:rPr>
          <w:rFonts w:hint="default"/>
          <w:lang w:val="en-US" w:eastAsia="zh-CN"/>
        </w:rPr>
        <w:t>评审会议实施</w:t>
      </w:r>
      <w:bookmarkEnd w:id="11"/>
    </w:p>
    <w:p w14:paraId="5BB9C1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会议主持：由总经理（或管理者代表）主持。</w:t>
      </w:r>
    </w:p>
    <w:p w14:paraId="550E91B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会议议程：</w:t>
      </w:r>
    </w:p>
    <w:p w14:paraId="2BDE582F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质量管理部汇报体系整体运行情况。</w:t>
      </w:r>
    </w:p>
    <w:p w14:paraId="430D8B47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各部门依据输入材料报告本领域绩效、问题与改进建议。</w:t>
      </w:r>
    </w:p>
    <w:p w14:paraId="473A8A9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与会人员对体系的适宜性、充分性、有效性进行评价与讨论。</w:t>
      </w:r>
    </w:p>
    <w:p w14:paraId="752465D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识别存在的问题、风险和改进机会。</w:t>
      </w:r>
    </w:p>
    <w:p w14:paraId="3F560B5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就体系的变更、过程改进、资源需求和战略调整等作出决策。</w:t>
      </w:r>
    </w:p>
    <w:p w14:paraId="3DBE6201">
      <w:pPr>
        <w:pStyle w:val="30"/>
        <w:bidi w:val="0"/>
        <w:rPr>
          <w:rFonts w:hint="default"/>
          <w:lang w:val="en-US" w:eastAsia="zh-CN"/>
        </w:rPr>
      </w:pPr>
      <w:bookmarkStart w:id="12" w:name="_Toc12142"/>
      <w:r>
        <w:rPr>
          <w:rFonts w:hint="default"/>
          <w:lang w:val="en-US" w:eastAsia="zh-CN"/>
        </w:rPr>
        <w:t>评审输出与报告</w:t>
      </w:r>
      <w:bookmarkEnd w:id="12"/>
    </w:p>
    <w:p w14:paraId="329FB5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管理评审的输出应包括与以下方面相关的任何决策和措施：</w:t>
      </w:r>
    </w:p>
    <w:p w14:paraId="2D103E73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体系及其过程有效性的改进。</w:t>
      </w:r>
    </w:p>
    <w:p w14:paraId="6CEB7913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与客户要求相关的软件运维服务的改进。</w:t>
      </w:r>
    </w:p>
    <w:p w14:paraId="419185DA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资源需求（人力、技术、财务、基础设施等）。</w:t>
      </w:r>
    </w:p>
    <w:p w14:paraId="058B64ED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对现有质量方针与目标的评价与必要修订。</w:t>
      </w:r>
    </w:p>
    <w:p w14:paraId="0FEDB80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质量管理部根据会议记录与决议，编制《管理评审报告》，明确输出内容、改进措施、责任部门及完成时限，报总经理批准后分发至相关部门。</w:t>
      </w:r>
    </w:p>
    <w:p w14:paraId="7914EBCF">
      <w:pPr>
        <w:pStyle w:val="30"/>
        <w:bidi w:val="0"/>
        <w:rPr>
          <w:rFonts w:hint="default"/>
          <w:lang w:val="en-US" w:eastAsia="zh-CN"/>
        </w:rPr>
      </w:pPr>
      <w:bookmarkStart w:id="13" w:name="_Toc16780"/>
      <w:r>
        <w:rPr>
          <w:rFonts w:hint="default"/>
          <w:lang w:val="en-US" w:eastAsia="zh-CN"/>
        </w:rPr>
        <w:t>改进措施的跟踪与验证</w:t>
      </w:r>
      <w:bookmarkEnd w:id="13"/>
    </w:p>
    <w:p w14:paraId="7D51C0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质量管理部将《管理评审报告》中的决议分解为具体的行动项，明确责任部门与完成时间。</w:t>
      </w:r>
    </w:p>
    <w:p w14:paraId="78A395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各责任部门制定并执行相应的纠正、预防或改进措施。</w:t>
      </w:r>
    </w:p>
    <w:p w14:paraId="68D9C11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质量管理部负责对各项措施的实施进度和效果进行跟踪、验证，确保闭环管理。</w:t>
      </w:r>
    </w:p>
    <w:p w14:paraId="71F0963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验证结果将作为下一次管理评审的输入。</w:t>
      </w:r>
    </w:p>
    <w:p w14:paraId="4A79B89A">
      <w:pPr>
        <w:pStyle w:val="30"/>
        <w:bidi w:val="0"/>
        <w:rPr>
          <w:rFonts w:hint="default"/>
          <w:lang w:val="en-US" w:eastAsia="zh-CN"/>
        </w:rPr>
      </w:pPr>
      <w:bookmarkStart w:id="14" w:name="_Toc18383"/>
      <w:r>
        <w:rPr>
          <w:rFonts w:hint="default"/>
          <w:lang w:val="en-US" w:eastAsia="zh-CN"/>
        </w:rPr>
        <w:t>文件与记录管理</w:t>
      </w:r>
      <w:bookmarkEnd w:id="14"/>
    </w:p>
    <w:p w14:paraId="0F26FE9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如评审输出导致体系文件（如方针、目标、制度、流程）的变更，应按照《文件控制程序》执行更改。</w:t>
      </w:r>
    </w:p>
    <w:p w14:paraId="3F3B47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质量管理部负责保存管理评审全过程的记录，包括计划、输入材料、会议纪要、报告、措施跟踪记录等，并归档管理。</w:t>
      </w:r>
    </w:p>
    <w:p w14:paraId="75A0664E">
      <w:pPr>
        <w:pStyle w:val="28"/>
        <w:bidi w:val="0"/>
        <w:rPr>
          <w:rFonts w:hint="default"/>
          <w:lang w:val="en-US" w:eastAsia="zh-CN"/>
        </w:rPr>
      </w:pPr>
      <w:bookmarkStart w:id="15" w:name="_Toc13733"/>
      <w:r>
        <w:rPr>
          <w:rFonts w:hint="default"/>
          <w:lang w:val="en-US" w:eastAsia="zh-CN"/>
        </w:rPr>
        <w:t>相关记录</w:t>
      </w:r>
      <w:bookmarkEnd w:id="15"/>
    </w:p>
    <w:p w14:paraId="3BCA2E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《管理评审计划》</w:t>
      </w:r>
    </w:p>
    <w:p w14:paraId="10CA5B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《管理评审会议纪要》</w:t>
      </w:r>
    </w:p>
    <w:p w14:paraId="2891E5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《管理评审报告》</w:t>
      </w:r>
    </w:p>
    <w:p w14:paraId="4CCA579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《改进措施跟踪验证记录》</w:t>
      </w:r>
    </w:p>
    <w:p w14:paraId="7305616C">
      <w:pPr>
        <w:pStyle w:val="28"/>
        <w:bidi w:val="0"/>
        <w:rPr>
          <w:rFonts w:hint="default"/>
          <w:lang w:val="en-US" w:eastAsia="zh-CN"/>
        </w:rPr>
      </w:pPr>
      <w:bookmarkStart w:id="16" w:name="_Toc1779"/>
      <w:r>
        <w:rPr>
          <w:rFonts w:hint="default"/>
          <w:lang w:val="en-US" w:eastAsia="zh-CN"/>
        </w:rPr>
        <w:t>附则</w:t>
      </w:r>
      <w:bookmarkEnd w:id="16"/>
    </w:p>
    <w:p w14:paraId="5C6461E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本制度由质量管理部负责解释与修订，自发布之日起实施。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A7977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0B88F4A"/>
    <w:multiLevelType w:val="singleLevel"/>
    <w:tmpl w:val="A0B88F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3E952CA"/>
    <w:multiLevelType w:val="singleLevel"/>
    <w:tmpl w:val="03E952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58A1B14"/>
    <w:multiLevelType w:val="singleLevel"/>
    <w:tmpl w:val="558A1B1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F079B0"/>
    <w:rsid w:val="1A7075C9"/>
    <w:rsid w:val="24EF3EFB"/>
    <w:rsid w:val="32B23028"/>
    <w:rsid w:val="69E06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1740</Words>
  <Characters>1832</Characters>
  <Lines>0</Lines>
  <Paragraphs>0</Paragraphs>
  <TotalTime>0</TotalTime>
  <ScaleCrop>false</ScaleCrop>
  <LinksUpToDate>false</LinksUpToDate>
  <CharactersWithSpaces>1898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2026-01-16T18:56:06Z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