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88B1B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455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354F18A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7485"/>
      <w:r>
        <w:rPr>
          <w:rFonts w:hint="eastAsia"/>
          <w:lang w:val="en-US" w:eastAsia="zh-CN"/>
        </w:rPr>
        <w:t>运维服务质量管理内审计划</w:t>
      </w:r>
      <w:bookmarkEnd w:id="1"/>
    </w:p>
    <w:p w14:paraId="62FAAAF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11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8B064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DBC16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0D1AA0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2025.09.10</w:t>
            </w:r>
          </w:p>
        </w:tc>
      </w:tr>
      <w:tr w14:paraId="394AC3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055A4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018C0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2025.09.10</w:t>
            </w:r>
          </w:p>
        </w:tc>
      </w:tr>
      <w:tr w14:paraId="26B826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2AF25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140F9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2025.09.10</w:t>
            </w:r>
          </w:p>
        </w:tc>
      </w:tr>
    </w:tbl>
    <w:p w14:paraId="219BCF4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C8548E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bookmarkStart w:id="18" w:name="_GoBack"/>
            <w:bookmarkEnd w:id="18"/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7C8A97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A6E331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C79653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_Toc14559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DAECB3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_Toc7485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运维服务质量管理内审计划</w:t>
          </w:r>
          <w:r>
            <w:tab/>
          </w:r>
          <w:r>
            <w:fldChar w:fldCharType="begin"/>
          </w:r>
          <w:r>
            <w:instrText xml:space="preserve"> PAGEREF _Toc7485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2BE3D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_Toc2990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500E3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_Toc10280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00559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_Toc11269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_Toc11269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95DA2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_Toc8830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_Toc8830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B3D5B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1.3.1. 质量管理部</w:t>
          </w:r>
          <w:r>
            <w:tab/>
          </w:r>
          <w:r>
            <w:fldChar w:fldCharType="begin"/>
          </w:r>
          <w:r>
            <w:instrText xml:space="preserve"> PAGEREF _Toc20243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3C139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1.3.2. </w:t>
          </w:r>
          <w:r>
            <w:rPr>
              <w:rFonts w:hint="eastAsia"/>
              <w:lang w:val="en-US" w:eastAsia="zh-CN"/>
            </w:rPr>
            <w:t>质量管理部经理</w:t>
          </w:r>
          <w:r>
            <w:tab/>
          </w:r>
          <w:r>
            <w:fldChar w:fldCharType="begin"/>
          </w:r>
          <w:r>
            <w:instrText xml:space="preserve"> PAGEREF _Toc5828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37F83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_Toc7958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1.3.3. 内审员</w:t>
          </w:r>
          <w:r>
            <w:tab/>
          </w:r>
          <w:r>
            <w:fldChar w:fldCharType="begin"/>
          </w:r>
          <w:r>
            <w:instrText xml:space="preserve"> PAGEREF _Toc7958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02C01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_Toc20704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1.3.4. </w:t>
          </w:r>
          <w:r>
            <w:rPr>
              <w:rFonts w:hint="eastAsia"/>
              <w:lang w:val="en-US" w:eastAsia="zh-CN"/>
            </w:rPr>
            <w:t>各运维相关部门</w:t>
          </w:r>
          <w:r>
            <w:tab/>
          </w:r>
          <w:r>
            <w:fldChar w:fldCharType="begin"/>
          </w:r>
          <w:r>
            <w:instrText xml:space="preserve"> PAGEREF _Toc20704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89000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_Toc24690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_Toc24690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76512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_Toc29528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_Toc29528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FFB27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_Toc9347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内部审核</w:t>
          </w:r>
          <w:r>
            <w:tab/>
          </w:r>
          <w:r>
            <w:fldChar w:fldCharType="begin"/>
          </w:r>
          <w:r>
            <w:instrText xml:space="preserve"> PAGEREF _Toc9347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AD12A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不符合项</w:t>
          </w:r>
          <w:r>
            <w:tab/>
          </w:r>
          <w:r>
            <w:fldChar w:fldCharType="begin"/>
          </w:r>
          <w:r>
            <w:instrText xml:space="preserve"> PAGEREF _Toc1887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F7AAE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_Toc8168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_Toc8168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C4314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审核基本信息</w:t>
          </w:r>
          <w:r>
            <w:tab/>
          </w:r>
          <w:r>
            <w:fldChar w:fldCharType="begin"/>
          </w:r>
          <w:r>
            <w:instrText xml:space="preserve"> PAGEREF _Toc26209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A9D95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审核组成员</w:t>
          </w:r>
          <w:r>
            <w:tab/>
          </w:r>
          <w:r>
            <w:fldChar w:fldCharType="begin"/>
          </w:r>
          <w:r>
            <w:instrText xml:space="preserve"> PAGEREF _Toc10343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027BC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_Toc4343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审核日程进度</w:t>
          </w:r>
          <w:r>
            <w:tab/>
          </w:r>
          <w:r>
            <w:fldChar w:fldCharType="begin"/>
          </w:r>
          <w:r>
            <w:instrText xml:space="preserve"> PAGEREF _Toc4343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A5BC1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48F16E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288E95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2990"/>
      <w:r>
        <w:rPr>
          <w:rFonts w:hint="eastAsia"/>
          <w:lang w:val="en-US" w:eastAsia="zh-CN"/>
        </w:rPr>
        <w:t>总则</w:t>
      </w:r>
      <w:bookmarkEnd w:id="2"/>
    </w:p>
    <w:p w14:paraId="6B4D597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10280"/>
      <w:r>
        <w:rPr>
          <w:rFonts w:hint="eastAsia"/>
          <w:lang w:val="en-US" w:eastAsia="zh-CN"/>
        </w:rPr>
        <w:t>目的</w:t>
      </w:r>
      <w:bookmarkEnd w:id="3"/>
    </w:p>
    <w:p w14:paraId="2D215C4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为验证公司运维工作的规范性、准确性及在实际场景中的应用效果，确保其符合公司既定的服务标准与沟通规范，并能有效支撑运维服务质量的统一交付与客户体验的提升，特制定本年度内部审核计划。</w:t>
      </w:r>
    </w:p>
    <w:p w14:paraId="7CFA956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1269"/>
      <w:r>
        <w:rPr>
          <w:rFonts w:hint="eastAsia"/>
          <w:lang w:val="en-US" w:eastAsia="zh-CN"/>
        </w:rPr>
        <w:t>适用范围</w:t>
      </w:r>
      <w:bookmarkEnd w:id="4"/>
    </w:p>
    <w:p w14:paraId="21A5036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本计划适用于公司所有运维服务过程及项目所涉及的质量管理活动，涵盖活动范围、内容、管理机制及相关支持活动。</w:t>
      </w:r>
    </w:p>
    <w:p w14:paraId="1C3DADA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8830"/>
      <w:r>
        <w:rPr>
          <w:rFonts w:hint="eastAsia"/>
          <w:lang w:val="en-US" w:eastAsia="zh-CN"/>
        </w:rPr>
        <w:t>岗位职责</w:t>
      </w:r>
      <w:bookmarkEnd w:id="5"/>
    </w:p>
    <w:p w14:paraId="319C6BA2">
      <w:pPr>
        <w:pStyle w:val="31"/>
        <w:bidi w:val="0"/>
        <w:rPr>
          <w:rFonts w:hint="default"/>
          <w:lang w:val="en-US" w:eastAsia="zh-CN"/>
        </w:rPr>
      </w:pPr>
      <w:bookmarkStart w:id="6" w:name="_Toc20243"/>
      <w:r>
        <w:rPr>
          <w:rFonts w:hint="default"/>
          <w:lang w:val="en-US" w:eastAsia="zh-CN"/>
        </w:rPr>
        <w:t>质量管理部</w:t>
      </w:r>
      <w:bookmarkEnd w:id="6"/>
    </w:p>
    <w:p w14:paraId="1067714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负责本计划的制定、组织与协调；负责组织审核组，任命审核组长。</w:t>
      </w:r>
    </w:p>
    <w:p w14:paraId="181A2F72">
      <w:pPr>
        <w:pStyle w:val="31"/>
        <w:bidi w:val="0"/>
        <w:rPr>
          <w:rFonts w:hint="eastAsia"/>
          <w:lang w:val="en-US" w:eastAsia="zh-CN"/>
        </w:rPr>
      </w:pPr>
      <w:bookmarkStart w:id="7" w:name="_Toc5828"/>
      <w:r>
        <w:rPr>
          <w:rFonts w:hint="eastAsia"/>
          <w:lang w:val="en-US" w:eastAsia="zh-CN"/>
        </w:rPr>
        <w:t>质量管理部经理</w:t>
      </w:r>
      <w:bookmarkEnd w:id="7"/>
    </w:p>
    <w:p w14:paraId="768BF2A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负责编制《内部审核检查表》，组织实施现场审核，编写《内部审核报告》</w:t>
      </w:r>
    </w:p>
    <w:p w14:paraId="0DBD4D88">
      <w:pPr>
        <w:pStyle w:val="31"/>
        <w:bidi w:val="0"/>
        <w:rPr>
          <w:rFonts w:hint="default"/>
          <w:lang w:val="en-US" w:eastAsia="zh-CN"/>
        </w:rPr>
      </w:pPr>
      <w:bookmarkStart w:id="8" w:name="_Toc7958"/>
      <w:r>
        <w:rPr>
          <w:rFonts w:hint="default"/>
          <w:lang w:val="en-US" w:eastAsia="zh-CN"/>
        </w:rPr>
        <w:t>内审员</w:t>
      </w:r>
      <w:bookmarkEnd w:id="8"/>
    </w:p>
    <w:p w14:paraId="7B12EF0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依据计划分工，完成指定的审核任务，报告审核发现。</w:t>
      </w:r>
    </w:p>
    <w:p w14:paraId="2E32D48F">
      <w:pPr>
        <w:pStyle w:val="31"/>
        <w:bidi w:val="0"/>
        <w:rPr>
          <w:rFonts w:hint="eastAsia"/>
          <w:lang w:val="en-US" w:eastAsia="zh-CN"/>
        </w:rPr>
      </w:pPr>
      <w:bookmarkStart w:id="9" w:name="_Toc20704"/>
      <w:r>
        <w:rPr>
          <w:rFonts w:hint="eastAsia"/>
          <w:lang w:val="en-US" w:eastAsia="zh-CN"/>
        </w:rPr>
        <w:t>各运维相关部门</w:t>
      </w:r>
      <w:bookmarkEnd w:id="9"/>
    </w:p>
    <w:p w14:paraId="3278D66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部门负责人应确保资源提供，指派陪同人员，并对审核发现的不符合项实施纠正措施。</w:t>
      </w:r>
    </w:p>
    <w:p w14:paraId="169E63A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24690"/>
      <w:r>
        <w:rPr>
          <w:rFonts w:hint="eastAsia"/>
          <w:lang w:val="en-US" w:eastAsia="zh-CN"/>
        </w:rPr>
        <w:t>引用依据</w:t>
      </w:r>
      <w:bookmarkEnd w:id="10"/>
    </w:p>
    <w:p w14:paraId="3F3B847F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4B3CDA28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5930DEB9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0712CB33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公司现行的运维服务管理体系文件（如：服务目录、服务级别协议、流程制度等）</w:t>
      </w:r>
    </w:p>
    <w:p w14:paraId="6A0277A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1" w:name="_Toc29528"/>
      <w:r>
        <w:rPr>
          <w:rFonts w:hint="eastAsia"/>
          <w:lang w:val="en-US" w:eastAsia="zh-CN"/>
        </w:rPr>
        <w:t>定义与术语</w:t>
      </w:r>
      <w:bookmarkEnd w:id="11"/>
    </w:p>
    <w:p w14:paraId="2B4E7063">
      <w:pPr>
        <w:pStyle w:val="30"/>
        <w:bidi w:val="0"/>
        <w:rPr>
          <w:rFonts w:hint="eastAsia"/>
        </w:rPr>
      </w:pPr>
      <w:bookmarkStart w:id="12" w:name="_Toc9347"/>
      <w:r>
        <w:rPr>
          <w:rFonts w:hint="eastAsia"/>
        </w:rPr>
        <w:t>内部审核</w:t>
      </w:r>
      <w:bookmarkEnd w:id="12"/>
    </w:p>
    <w:p w14:paraId="0A939B77">
      <w:pPr>
        <w:pStyle w:val="29"/>
        <w:rPr>
          <w:rFonts w:hint="eastAsia"/>
        </w:rPr>
      </w:pPr>
      <w:r>
        <w:rPr>
          <w:rFonts w:hint="eastAsia"/>
        </w:rPr>
        <w:t>为获得审核证据并对其进行客观的评价，以确定满足审核准则的程度所进行的系统的、独立的并形成文件的过程。</w:t>
      </w:r>
    </w:p>
    <w:p w14:paraId="6B7389CF">
      <w:pPr>
        <w:pStyle w:val="30"/>
        <w:bidi w:val="0"/>
        <w:rPr>
          <w:rFonts w:hint="eastAsia"/>
        </w:rPr>
      </w:pPr>
      <w:bookmarkStart w:id="13" w:name="_Toc1887"/>
      <w:r>
        <w:rPr>
          <w:rFonts w:hint="eastAsia"/>
        </w:rPr>
        <w:t>不符合项</w:t>
      </w:r>
      <w:bookmarkEnd w:id="13"/>
    </w:p>
    <w:p w14:paraId="5C102AA8">
      <w:pPr>
        <w:pStyle w:val="29"/>
        <w:rPr>
          <w:rFonts w:hint="eastAsia"/>
        </w:rPr>
      </w:pPr>
      <w:r>
        <w:rPr>
          <w:rFonts w:hint="eastAsia"/>
        </w:rPr>
        <w:t>未满足审核准则的要求。</w:t>
      </w:r>
    </w:p>
    <w:p w14:paraId="48017F2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8168"/>
      <w:r>
        <w:rPr>
          <w:rFonts w:hint="eastAsia"/>
          <w:lang w:val="en-US" w:eastAsia="zh-CN"/>
        </w:rPr>
        <w:t>管理内容与要求</w:t>
      </w:r>
      <w:bookmarkEnd w:id="14"/>
    </w:p>
    <w:p w14:paraId="0B876351">
      <w:pPr>
        <w:pStyle w:val="30"/>
        <w:bidi w:val="0"/>
        <w:rPr>
          <w:rFonts w:hint="eastAsia"/>
          <w:lang w:val="en-US" w:eastAsia="zh-CN"/>
        </w:rPr>
      </w:pPr>
      <w:bookmarkStart w:id="15" w:name="_Toc26209"/>
      <w:r>
        <w:rPr>
          <w:rFonts w:hint="eastAsia"/>
          <w:lang w:val="en-US" w:eastAsia="zh-CN"/>
        </w:rPr>
        <w:t>审核基本信息</w:t>
      </w:r>
      <w:bookmarkEnd w:id="15"/>
    </w:p>
    <w:p w14:paraId="5213342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时间安排：$1.11.$3-$1.11.$3</w:t>
      </w:r>
    </w:p>
    <w:p w14:paraId="303F6D4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首次会议：$1.11.$3 9:30</w:t>
      </w:r>
    </w:p>
    <w:p w14:paraId="1A4B1ED3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末次会议：$1.11.$3 17:30</w:t>
      </w:r>
    </w:p>
    <w:p w14:paraId="57E0E0D8">
      <w:pPr>
        <w:pStyle w:val="30"/>
        <w:bidi w:val="0"/>
        <w:rPr>
          <w:rFonts w:hint="eastAsia"/>
          <w:lang w:val="en-US" w:eastAsia="zh-CN"/>
        </w:rPr>
      </w:pPr>
      <w:bookmarkStart w:id="16" w:name="_Toc10343"/>
      <w:r>
        <w:rPr>
          <w:rFonts w:hint="eastAsia"/>
          <w:lang w:val="en-US" w:eastAsia="zh-CN"/>
        </w:rPr>
        <w:t>审核组成员</w:t>
      </w:r>
      <w:bookmarkEnd w:id="16"/>
    </w:p>
    <w:p w14:paraId="6666218F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审核组由组长和组员构成，组长由管代担任，数智运营部经理</w:t>
      </w:r>
      <w:r>
        <w:rPr>
          <w:rFonts w:hint="eastAsia"/>
          <w:vertAlign w:val="baseline"/>
          <w:lang w:val="en-US" w:eastAsia="zh-CN"/>
        </w:rPr>
        <w:t>（A）</w:t>
      </w:r>
      <w:r>
        <w:rPr>
          <w:rFonts w:hint="eastAsia"/>
          <w:lang w:val="en-US" w:eastAsia="zh-CN"/>
        </w:rPr>
        <w:t>、研究总院经理</w:t>
      </w:r>
      <w:r>
        <w:rPr>
          <w:rFonts w:hint="eastAsia"/>
          <w:vertAlign w:val="baseline"/>
          <w:lang w:val="en-US" w:eastAsia="zh-CN"/>
        </w:rPr>
        <w:t>（B）</w:t>
      </w:r>
      <w:r>
        <w:rPr>
          <w:rFonts w:hint="eastAsia"/>
          <w:lang w:val="en-US" w:eastAsia="zh-CN"/>
        </w:rPr>
        <w:t>、人力部经理</w:t>
      </w:r>
      <w:r>
        <w:rPr>
          <w:rFonts w:hint="eastAsia"/>
          <w:vertAlign w:val="baseline"/>
          <w:lang w:val="en-US" w:eastAsia="zh-CN"/>
        </w:rPr>
        <w:t>（C）</w:t>
      </w:r>
      <w:r>
        <w:rPr>
          <w:rFonts w:hint="eastAsia"/>
          <w:lang w:val="en-US" w:eastAsia="zh-CN"/>
        </w:rPr>
        <w:t>、质量管理部经理</w:t>
      </w:r>
      <w:r>
        <w:rPr>
          <w:rFonts w:hint="eastAsia"/>
          <w:vertAlign w:val="baseline"/>
          <w:lang w:val="en-US" w:eastAsia="zh-CN"/>
        </w:rPr>
        <w:t>（D）</w:t>
      </w:r>
      <w:r>
        <w:rPr>
          <w:rFonts w:hint="eastAsia"/>
          <w:lang w:val="en-US" w:eastAsia="zh-CN"/>
        </w:rPr>
        <w:t>担任组员。审核组信息如表4-1所示</w:t>
      </w:r>
    </w:p>
    <w:p w14:paraId="4A078EDC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</w:p>
    <w:p w14:paraId="34354F71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 SEQ 图表 \* ARABIC  \s 1</w:instrText>
      </w:r>
    </w:p>
    <w:p w14:paraId="5E7B61BF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审核组信息表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8"/>
        <w:gridCol w:w="6230"/>
      </w:tblGrid>
      <w:tr w14:paraId="39B06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  <w:jc w:val="center"/>
        </w:trPr>
        <w:tc>
          <w:tcPr>
            <w:tcW w:w="1048" w:type="dxa"/>
          </w:tcPr>
          <w:p w14:paraId="4B3460C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组长</w:t>
            </w:r>
          </w:p>
        </w:tc>
        <w:tc>
          <w:tcPr>
            <w:tcW w:w="6230" w:type="dxa"/>
          </w:tcPr>
          <w:p w14:paraId="516E1B2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涂志云</w:t>
            </w:r>
          </w:p>
        </w:tc>
      </w:tr>
      <w:tr w14:paraId="0CC3F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1" w:hRule="atLeast"/>
          <w:jc w:val="center"/>
        </w:trPr>
        <w:tc>
          <w:tcPr>
            <w:tcW w:w="1048" w:type="dxa"/>
          </w:tcPr>
          <w:p w14:paraId="200EDB1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组员</w:t>
            </w:r>
          </w:p>
        </w:tc>
        <w:tc>
          <w:tcPr>
            <w:tcW w:w="6230" w:type="dxa"/>
          </w:tcPr>
          <w:p w14:paraId="5E3FD1F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徐超超（A）、熊发云（B）、陈萍（C）、张翔（D）</w:t>
            </w:r>
          </w:p>
        </w:tc>
      </w:tr>
    </w:tbl>
    <w:p w14:paraId="1286F217">
      <w:pPr>
        <w:pStyle w:val="30"/>
        <w:bidi w:val="0"/>
        <w:rPr>
          <w:rFonts w:hint="default"/>
          <w:lang w:val="en-US" w:eastAsia="zh-CN"/>
        </w:rPr>
      </w:pPr>
      <w:bookmarkStart w:id="17" w:name="_Toc4343"/>
      <w:r>
        <w:rPr>
          <w:rFonts w:hint="eastAsia"/>
          <w:lang w:val="en-US" w:eastAsia="zh-CN"/>
        </w:rPr>
        <w:t>审核日程进度</w:t>
      </w:r>
      <w:bookmarkEnd w:id="17"/>
    </w:p>
    <w:p w14:paraId="3486BC84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</w:p>
    <w:p w14:paraId="14B8BF3A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 SEQ 图表 \* ARABIC  \s 1</w:instrText>
      </w:r>
    </w:p>
    <w:p w14:paraId="4036FF3E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内审日程进度表</w:t>
      </w:r>
    </w:p>
    <w:tbl>
      <w:tblPr>
        <w:tblStyle w:val="26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6"/>
        <w:gridCol w:w="1512"/>
        <w:gridCol w:w="1693"/>
        <w:gridCol w:w="4066"/>
        <w:gridCol w:w="1442"/>
      </w:tblGrid>
      <w:tr w14:paraId="6571EBF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966" w:type="dxa"/>
          </w:tcPr>
          <w:p w14:paraId="536DF6FF">
            <w:pPr>
              <w:pStyle w:val="27"/>
              <w:spacing w:before="209" w:line="228" w:lineRule="auto"/>
              <w:jc w:val="center"/>
            </w:pPr>
            <w:r>
              <w:rPr>
                <w:spacing w:val="-14"/>
              </w:rPr>
              <w:t>日期</w:t>
            </w:r>
          </w:p>
        </w:tc>
        <w:tc>
          <w:tcPr>
            <w:tcW w:w="1512" w:type="dxa"/>
            <w:vAlign w:val="center"/>
          </w:tcPr>
          <w:p w14:paraId="3636F91B">
            <w:pPr>
              <w:pStyle w:val="27"/>
              <w:spacing w:before="208" w:line="230" w:lineRule="auto"/>
              <w:jc w:val="center"/>
            </w:pPr>
            <w:r>
              <w:rPr>
                <w:spacing w:val="-5"/>
              </w:rPr>
              <w:t>时间</w:t>
            </w:r>
          </w:p>
        </w:tc>
        <w:tc>
          <w:tcPr>
            <w:tcW w:w="5759" w:type="dxa"/>
            <w:gridSpan w:val="2"/>
          </w:tcPr>
          <w:p w14:paraId="04171CB2">
            <w:pPr>
              <w:pStyle w:val="27"/>
              <w:spacing w:before="208" w:line="228" w:lineRule="auto"/>
              <w:jc w:val="center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442" w:type="dxa"/>
          </w:tcPr>
          <w:p w14:paraId="04F8A519">
            <w:pPr>
              <w:pStyle w:val="27"/>
              <w:spacing w:before="53" w:line="263" w:lineRule="auto"/>
              <w:ind w:right="316"/>
              <w:jc w:val="center"/>
            </w:pPr>
            <w:r>
              <w:rPr>
                <w:spacing w:val="3"/>
              </w:rPr>
              <w:t>审核员分工</w:t>
            </w:r>
          </w:p>
        </w:tc>
      </w:tr>
      <w:tr w14:paraId="5AD824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4265AA97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9月</w:t>
            </w:r>
          </w:p>
          <w:p w14:paraId="096F2CB5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15日</w:t>
            </w:r>
          </w:p>
        </w:tc>
        <w:tc>
          <w:tcPr>
            <w:tcW w:w="1512" w:type="dxa"/>
            <w:vAlign w:val="center"/>
          </w:tcPr>
          <w:p w14:paraId="636523F9">
            <w:pPr>
              <w:pStyle w:val="27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759" w:type="dxa"/>
            <w:gridSpan w:val="2"/>
          </w:tcPr>
          <w:p w14:paraId="1A0CD627">
            <w:pPr>
              <w:pStyle w:val="27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442" w:type="dxa"/>
          </w:tcPr>
          <w:p w14:paraId="7F3B577B">
            <w:pPr>
              <w:pStyle w:val="27"/>
              <w:spacing w:before="115" w:line="229" w:lineRule="auto"/>
              <w:ind w:left="321"/>
            </w:pPr>
            <w:r>
              <w:t>全体</w:t>
            </w:r>
          </w:p>
        </w:tc>
      </w:tr>
      <w:tr w14:paraId="2C0CD7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81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5FC87F26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3BC3CC71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58A41631">
            <w:pPr>
              <w:pStyle w:val="27"/>
              <w:spacing w:before="65" w:line="228" w:lineRule="auto"/>
              <w:ind w:left="410"/>
              <w:rPr>
                <w:spacing w:val="5"/>
              </w:rPr>
            </w:pPr>
            <w:r>
              <w:rPr>
                <w:rFonts w:hint="eastAsia"/>
                <w:spacing w:val="5"/>
                <w:lang w:val="en-US" w:eastAsia="zh-CN"/>
              </w:rPr>
              <w:t>人力部</w:t>
            </w:r>
          </w:p>
          <w:p w14:paraId="7459BEA8">
            <w:pPr>
              <w:pStyle w:val="27"/>
              <w:spacing w:before="65" w:line="228" w:lineRule="auto"/>
              <w:ind w:left="410"/>
              <w:rPr>
                <w:rFonts w:hint="eastAsia" w:eastAsia="宋体"/>
                <w:spacing w:val="5"/>
                <w:lang w:val="en-US"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数智运营部</w:t>
            </w:r>
          </w:p>
        </w:tc>
        <w:tc>
          <w:tcPr>
            <w:tcW w:w="4066" w:type="dxa"/>
            <w:vAlign w:val="center"/>
          </w:tcPr>
          <w:p w14:paraId="0B863BED">
            <w:pPr>
              <w:pStyle w:val="27"/>
              <w:spacing w:before="65" w:line="289" w:lineRule="auto"/>
              <w:ind w:left="112" w:right="102" w:firstLine="3"/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</w:p>
        </w:tc>
        <w:tc>
          <w:tcPr>
            <w:tcW w:w="1442" w:type="dxa"/>
            <w:vAlign w:val="center"/>
          </w:tcPr>
          <w:p w14:paraId="379D2741">
            <w:pPr>
              <w:pStyle w:val="27"/>
              <w:spacing w:before="65" w:line="228" w:lineRule="auto"/>
              <w:ind w:left="324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22D3EFA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F29DC3E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221AE3E0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10C96F97">
            <w:pPr>
              <w:pStyle w:val="27"/>
              <w:spacing w:before="65" w:line="289" w:lineRule="auto"/>
              <w:ind w:left="112" w:right="110" w:firstLine="2"/>
              <w:rPr>
                <w:rFonts w:hint="eastAsia"/>
                <w:spacing w:val="1"/>
                <w:lang w:val="en-US" w:eastAsia="zh-CN"/>
              </w:rPr>
            </w:pPr>
            <w:r>
              <w:rPr>
                <w:spacing w:val="1"/>
              </w:rPr>
              <w:t>管理层、</w:t>
            </w:r>
            <w:r>
              <w:rPr>
                <w:rFonts w:hint="eastAsia"/>
                <w:spacing w:val="1"/>
                <w:lang w:val="en-US" w:eastAsia="zh-CN"/>
              </w:rPr>
              <w:t>质量管理部</w:t>
            </w:r>
          </w:p>
          <w:p w14:paraId="2DE4AA8D">
            <w:pPr>
              <w:pStyle w:val="27"/>
              <w:spacing w:before="65" w:line="289" w:lineRule="auto"/>
              <w:ind w:left="112" w:right="110" w:firstLine="2"/>
              <w:rPr>
                <w:rFonts w:hint="default"/>
                <w:spacing w:val="1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数智运营部</w:t>
            </w:r>
          </w:p>
        </w:tc>
        <w:tc>
          <w:tcPr>
            <w:tcW w:w="4066" w:type="dxa"/>
            <w:vAlign w:val="center"/>
          </w:tcPr>
          <w:p w14:paraId="350A56FB">
            <w:pPr>
              <w:pStyle w:val="27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 w14:paraId="7DA9CB65">
            <w:pPr>
              <w:pStyle w:val="27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442" w:type="dxa"/>
            <w:vAlign w:val="center"/>
          </w:tcPr>
          <w:p w14:paraId="40BDBEAE">
            <w:pPr>
              <w:pStyle w:val="27"/>
              <w:spacing w:before="65" w:line="228" w:lineRule="auto"/>
              <w:ind w:left="325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</w:tc>
      </w:tr>
      <w:tr w14:paraId="7922CE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01D9AC15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5C21E856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446293E6">
            <w:pPr>
              <w:pStyle w:val="27"/>
              <w:spacing w:before="65" w:line="228" w:lineRule="auto"/>
              <w:ind w:left="408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研究总院</w:t>
            </w:r>
          </w:p>
        </w:tc>
        <w:tc>
          <w:tcPr>
            <w:tcW w:w="4066" w:type="dxa"/>
            <w:vAlign w:val="center"/>
          </w:tcPr>
          <w:p w14:paraId="7B6A3A24">
            <w:pPr>
              <w:pStyle w:val="27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442" w:type="dxa"/>
            <w:vAlign w:val="center"/>
          </w:tcPr>
          <w:p w14:paraId="4482D227">
            <w:pPr>
              <w:pStyle w:val="27"/>
              <w:spacing w:before="65" w:line="228" w:lineRule="auto"/>
              <w:ind w:left="323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A</w:t>
            </w:r>
          </w:p>
        </w:tc>
      </w:tr>
      <w:tr w14:paraId="55472E6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7627AE26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9月</w:t>
            </w:r>
          </w:p>
          <w:p w14:paraId="56ECEFC8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16日</w:t>
            </w:r>
          </w:p>
        </w:tc>
        <w:tc>
          <w:tcPr>
            <w:tcW w:w="1512" w:type="dxa"/>
            <w:vAlign w:val="center"/>
          </w:tcPr>
          <w:p w14:paraId="46C17D31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vAlign w:val="center"/>
          </w:tcPr>
          <w:p w14:paraId="1DB51FB1">
            <w:pPr>
              <w:pStyle w:val="27"/>
              <w:spacing w:before="65" w:line="228" w:lineRule="auto"/>
              <w:ind w:left="407"/>
              <w:rPr>
                <w:spacing w:val="6"/>
              </w:rPr>
            </w:pPr>
            <w:r>
              <w:rPr>
                <w:spacing w:val="6"/>
              </w:rPr>
              <w:t>数智运营部</w:t>
            </w:r>
          </w:p>
          <w:p w14:paraId="44616370">
            <w:pPr>
              <w:pStyle w:val="27"/>
              <w:spacing w:before="65" w:line="228" w:lineRule="auto"/>
              <w:ind w:left="407"/>
              <w:rPr>
                <w:rFonts w:hint="default" w:eastAsia="宋体"/>
                <w:spacing w:val="6"/>
                <w:lang w:val="en-US"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采购部</w:t>
            </w:r>
          </w:p>
        </w:tc>
        <w:tc>
          <w:tcPr>
            <w:tcW w:w="4066" w:type="dxa"/>
            <w:vAlign w:val="center"/>
          </w:tcPr>
          <w:p w14:paraId="39C69908">
            <w:pPr>
              <w:pStyle w:val="27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服务台、7.6.</w:t>
            </w:r>
            <w:r>
              <w:rPr>
                <w:rFonts w:hint="eastAsia"/>
                <w:spacing w:val="2"/>
                <w:lang w:val="en-US" w:eastAsia="zh-CN"/>
              </w:rPr>
              <w:t>3 备件库</w:t>
            </w:r>
            <w:r>
              <w:rPr>
                <w:rFonts w:hint="eastAsia"/>
                <w:spacing w:val="2"/>
                <w:lang w:eastAsia="zh-CN"/>
              </w:rPr>
              <w:t>、</w:t>
            </w:r>
            <w:r>
              <w:rPr>
                <w:spacing w:val="2"/>
              </w:rPr>
              <w:t>7.6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442" w:type="dxa"/>
            <w:vAlign w:val="center"/>
          </w:tcPr>
          <w:p w14:paraId="25793E21">
            <w:pPr>
              <w:pStyle w:val="27"/>
              <w:spacing w:before="65" w:line="228" w:lineRule="auto"/>
              <w:ind w:left="325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D</w:t>
            </w:r>
          </w:p>
        </w:tc>
      </w:tr>
      <w:tr w14:paraId="7174070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01AF341B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tcBorders>
              <w:bottom w:val="single" w:color="auto" w:sz="4" w:space="0"/>
            </w:tcBorders>
            <w:vAlign w:val="center"/>
          </w:tcPr>
          <w:p w14:paraId="74C3850D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bottom w:val="single" w:color="auto" w:sz="4" w:space="0"/>
            </w:tcBorders>
            <w:vAlign w:val="center"/>
          </w:tcPr>
          <w:p w14:paraId="6E5F79A8">
            <w:pPr>
              <w:pStyle w:val="27"/>
              <w:spacing w:before="65" w:line="228" w:lineRule="auto"/>
              <w:ind w:left="407"/>
              <w:rPr>
                <w:spacing w:val="6"/>
              </w:rPr>
            </w:pPr>
            <w:r>
              <w:rPr>
                <w:spacing w:val="6"/>
              </w:rPr>
              <w:t>数智运营部</w:t>
            </w:r>
          </w:p>
          <w:p w14:paraId="7C2059A8">
            <w:pPr>
              <w:pStyle w:val="27"/>
              <w:spacing w:before="65" w:line="228" w:lineRule="auto"/>
              <w:ind w:left="407"/>
              <w:rPr>
                <w:rFonts w:hint="eastAsia" w:eastAsia="宋体"/>
                <w:spacing w:val="6"/>
                <w:lang w:val="en-US"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质量管理部</w:t>
            </w:r>
          </w:p>
        </w:tc>
        <w:tc>
          <w:tcPr>
            <w:tcW w:w="4066" w:type="dxa"/>
            <w:tcBorders>
              <w:bottom w:val="single" w:color="auto" w:sz="4" w:space="0"/>
            </w:tcBorders>
            <w:vAlign w:val="center"/>
          </w:tcPr>
          <w:p w14:paraId="043623BB">
            <w:pPr>
              <w:pStyle w:val="27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与制度、</w:t>
            </w:r>
          </w:p>
          <w:p w14:paraId="665D177A">
            <w:pPr>
              <w:pStyle w:val="27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442" w:type="dxa"/>
            <w:tcBorders>
              <w:bottom w:val="single" w:color="auto" w:sz="4" w:space="0"/>
            </w:tcBorders>
            <w:vAlign w:val="center"/>
          </w:tcPr>
          <w:p w14:paraId="597E69E5">
            <w:pPr>
              <w:pStyle w:val="27"/>
              <w:spacing w:before="65" w:line="228" w:lineRule="auto"/>
              <w:ind w:left="324"/>
            </w:pP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6C39FD3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1797EA13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179546D7">
            <w:pPr>
              <w:pStyle w:val="27"/>
              <w:spacing w:before="72"/>
              <w:ind w:left="26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693" w:type="dxa"/>
            <w:tcBorders>
              <w:top w:val="single" w:color="auto" w:sz="4" w:space="0"/>
            </w:tcBorders>
            <w:vAlign w:val="center"/>
          </w:tcPr>
          <w:p w14:paraId="13C0DEDE">
            <w:pPr>
              <w:pStyle w:val="27"/>
              <w:spacing w:before="65" w:line="228" w:lineRule="auto"/>
              <w:ind w:left="407"/>
            </w:pPr>
            <w:r>
              <w:rPr>
                <w:spacing w:val="6"/>
              </w:rPr>
              <w:t>数智运营部</w:t>
            </w:r>
          </w:p>
        </w:tc>
        <w:tc>
          <w:tcPr>
            <w:tcW w:w="4066" w:type="dxa"/>
            <w:tcBorders>
              <w:top w:val="single" w:color="auto" w:sz="4" w:space="0"/>
            </w:tcBorders>
          </w:tcPr>
          <w:p w14:paraId="0E47B9AF">
            <w:pPr>
              <w:pStyle w:val="27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 w14:paraId="69C4EA45">
            <w:pPr>
              <w:pStyle w:val="27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 w14:paraId="36AB00AF">
            <w:pPr>
              <w:pStyle w:val="27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442" w:type="dxa"/>
            <w:tcBorders>
              <w:top w:val="single" w:color="auto" w:sz="4" w:space="0"/>
            </w:tcBorders>
            <w:vAlign w:val="center"/>
          </w:tcPr>
          <w:p w14:paraId="07CCBC65">
            <w:pPr>
              <w:pStyle w:val="27"/>
              <w:spacing w:before="65" w:line="228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  <w:p w14:paraId="64284242">
            <w:pPr>
              <w:pStyle w:val="27"/>
              <w:spacing w:before="65" w:line="228" w:lineRule="auto"/>
            </w:pPr>
          </w:p>
        </w:tc>
      </w:tr>
      <w:tr w14:paraId="26FD25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21E10237">
            <w:pPr>
              <w:rPr>
                <w:rFonts w:ascii="Arial"/>
                <w:sz w:val="21"/>
              </w:rPr>
            </w:pPr>
          </w:p>
        </w:tc>
        <w:tc>
          <w:tcPr>
            <w:tcW w:w="1512" w:type="dxa"/>
            <w:vAlign w:val="center"/>
          </w:tcPr>
          <w:p w14:paraId="501CF2DD">
            <w:pPr>
              <w:pStyle w:val="27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759" w:type="dxa"/>
            <w:gridSpan w:val="2"/>
          </w:tcPr>
          <w:p w14:paraId="10366277">
            <w:pPr>
              <w:pStyle w:val="27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442" w:type="dxa"/>
            <w:vAlign w:val="center"/>
          </w:tcPr>
          <w:p w14:paraId="356F1948">
            <w:pPr>
              <w:pStyle w:val="27"/>
              <w:spacing w:before="300" w:line="229" w:lineRule="auto"/>
              <w:ind w:left="32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全体</w:t>
            </w:r>
          </w:p>
        </w:tc>
      </w:tr>
    </w:tbl>
    <w:p w14:paraId="0370C4F3">
      <w:pPr>
        <w:pStyle w:val="29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07E5D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2CB2888"/>
    <w:multiLevelType w:val="singleLevel"/>
    <w:tmpl w:val="D2CB28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FF46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1271</Words>
  <Characters>1686</Characters>
  <Lines>0</Lines>
  <Paragraphs>0</Paragraphs>
  <TotalTime>0</TotalTime>
  <ScaleCrop>false</ScaleCrop>
  <LinksUpToDate>false</LinksUpToDate>
  <CharactersWithSpaces>1814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2026-01-16T18:58:44Z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