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01B9B2">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9084"/>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2035353B">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31277"/>
      <w:r>
        <w:rPr>
          <w:rFonts w:hint="eastAsia"/>
          <w:lang w:val="en-US" w:eastAsia="zh-CN"/>
        </w:rPr>
        <w:t>人员技能评定管理制度</w:t>
      </w:r>
      <w:bookmarkEnd w:id="1"/>
    </w:p>
    <w:p w14:paraId="10D18A9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5</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13475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9FB4DA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人力部</w:t>
            </w:r>
          </w:p>
        </w:tc>
        <w:tc>
          <w:tcPr>
            <w:tcW w:w="2708" w:type="dxa"/>
          </w:tcPr>
          <w:p w14:paraId="5E63FCF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31B0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555E51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16FE9BB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31185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A48A82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7614156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435AE9BC">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F3E23F1">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lang w:val="en-US" w:eastAsia="zh-CN"/>
              </w:rPr>
              <w:t>陈</w:t>
            </w:r>
            <w:r>
              <w:rPr>
                <w:rFonts w:hint="eastAsia" w:asciiTheme="minorAscii" w:hAnsiTheme="minorAscii" w:eastAsiaTheme="minorEastAsia"/>
                <w:spacing w:val="0"/>
                <w:kern w:val="0"/>
                <w:sz w:val="21"/>
                <w:vertAlign w:val="baseline"/>
                <w:lang w:val="en-US" w:eastAsia="zh-CN"/>
              </w:rPr>
              <w:t>萍</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19052F29">
      <w:pPr>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GoBack"/>
      <w:bookmarkEnd w:id="20"/>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E760CD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0013D9F">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_Toc19084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_Toc19084 \h </w:instrText>
          </w:r>
          <w:r>
            <w:fldChar w:fldCharType="separate"/>
          </w:r>
          <w:r>
            <w:t>1</w:t>
          </w:r>
          <w:r>
            <w:fldChar w:fldCharType="end"/>
          </w:r>
          <w:r>
            <w:rPr>
              <w:rFonts w:hint="eastAsia" w:ascii="宋体" w:hAnsi="宋体" w:eastAsia="宋体" w:cs="宋体"/>
              <w:szCs w:val="24"/>
            </w:rPr>
            <w:fldChar w:fldCharType="end"/>
          </w:r>
        </w:p>
        <w:p w14:paraId="7C83B72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_Toc31277 </w:instrText>
          </w:r>
          <w:r>
            <w:rPr>
              <w:rFonts w:hint="eastAsia" w:ascii="宋体" w:hAnsi="宋体" w:eastAsia="宋体" w:cs="宋体"/>
              <w:szCs w:val="24"/>
            </w:rPr>
            <w:fldChar w:fldCharType="separate"/>
          </w:r>
          <w:r>
            <w:rPr>
              <w:rFonts w:hint="eastAsia"/>
              <w:lang w:val="en-US" w:eastAsia="zh-CN"/>
            </w:rPr>
            <w:t>人员技能评定管理制度</w:t>
          </w:r>
          <w:r>
            <w:tab/>
          </w:r>
          <w:r>
            <w:fldChar w:fldCharType="begin"/>
          </w:r>
          <w:r>
            <w:instrText xml:space="preserve"> PAGEREF _Toc31277 \h </w:instrText>
          </w:r>
          <w:r>
            <w:fldChar w:fldCharType="separate"/>
          </w:r>
          <w:r>
            <w:t>1</w:t>
          </w:r>
          <w:r>
            <w:fldChar w:fldCharType="end"/>
          </w:r>
          <w:r>
            <w:rPr>
              <w:rFonts w:hint="eastAsia" w:ascii="宋体" w:hAnsi="宋体" w:eastAsia="宋体" w:cs="宋体"/>
              <w:szCs w:val="24"/>
            </w:rPr>
            <w:fldChar w:fldCharType="end"/>
          </w:r>
        </w:p>
        <w:p w14:paraId="34AD866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_Toc13258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_Toc13258 \h </w:instrText>
          </w:r>
          <w:r>
            <w:fldChar w:fldCharType="separate"/>
          </w:r>
          <w:r>
            <w:t>4</w:t>
          </w:r>
          <w:r>
            <w:fldChar w:fldCharType="end"/>
          </w:r>
          <w:r>
            <w:rPr>
              <w:rFonts w:hint="eastAsia" w:ascii="宋体" w:hAnsi="宋体" w:eastAsia="宋体" w:cs="宋体"/>
              <w:szCs w:val="24"/>
            </w:rPr>
            <w:fldChar w:fldCharType="end"/>
          </w:r>
        </w:p>
        <w:p w14:paraId="28925FF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_Toc21668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_Toc21668 \h </w:instrText>
          </w:r>
          <w:r>
            <w:fldChar w:fldCharType="separate"/>
          </w:r>
          <w:r>
            <w:t>4</w:t>
          </w:r>
          <w:r>
            <w:fldChar w:fldCharType="end"/>
          </w:r>
          <w:r>
            <w:rPr>
              <w:rFonts w:hint="eastAsia" w:ascii="宋体" w:hAnsi="宋体" w:eastAsia="宋体" w:cs="宋体"/>
              <w:szCs w:val="24"/>
            </w:rPr>
            <w:fldChar w:fldCharType="end"/>
          </w:r>
        </w:p>
        <w:p w14:paraId="1CE0366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_Toc21366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_Toc21366 \h </w:instrText>
          </w:r>
          <w:r>
            <w:fldChar w:fldCharType="separate"/>
          </w:r>
          <w:r>
            <w:t>4</w:t>
          </w:r>
          <w:r>
            <w:fldChar w:fldCharType="end"/>
          </w:r>
          <w:r>
            <w:rPr>
              <w:rFonts w:hint="eastAsia" w:ascii="宋体" w:hAnsi="宋体" w:eastAsia="宋体" w:cs="宋体"/>
              <w:szCs w:val="24"/>
            </w:rPr>
            <w:fldChar w:fldCharType="end"/>
          </w:r>
        </w:p>
        <w:p w14:paraId="1A94104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_Toc5007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_Toc5007 \h </w:instrText>
          </w:r>
          <w:r>
            <w:fldChar w:fldCharType="separate"/>
          </w:r>
          <w:r>
            <w:t>4</w:t>
          </w:r>
          <w:r>
            <w:fldChar w:fldCharType="end"/>
          </w:r>
          <w:r>
            <w:rPr>
              <w:rFonts w:hint="eastAsia" w:ascii="宋体" w:hAnsi="宋体" w:eastAsia="宋体" w:cs="宋体"/>
              <w:szCs w:val="24"/>
            </w:rPr>
            <w:fldChar w:fldCharType="end"/>
          </w:r>
        </w:p>
        <w:p w14:paraId="3B5F77C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_Toc15240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技能等级体系</w:t>
          </w:r>
          <w:r>
            <w:tab/>
          </w:r>
          <w:r>
            <w:fldChar w:fldCharType="begin"/>
          </w:r>
          <w:r>
            <w:instrText xml:space="preserve"> PAGEREF _Toc15240 \h </w:instrText>
          </w:r>
          <w:r>
            <w:fldChar w:fldCharType="separate"/>
          </w:r>
          <w:r>
            <w:t>4</w:t>
          </w:r>
          <w:r>
            <w:fldChar w:fldCharType="end"/>
          </w:r>
          <w:r>
            <w:rPr>
              <w:rFonts w:hint="eastAsia" w:ascii="宋体" w:hAnsi="宋体" w:eastAsia="宋体" w:cs="宋体"/>
              <w:szCs w:val="24"/>
            </w:rPr>
            <w:fldChar w:fldCharType="end"/>
          </w:r>
        </w:p>
        <w:p w14:paraId="1EAEF1B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_Toc28928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专业序列划分</w:t>
          </w:r>
          <w:r>
            <w:tab/>
          </w:r>
          <w:r>
            <w:fldChar w:fldCharType="begin"/>
          </w:r>
          <w:r>
            <w:instrText xml:space="preserve"> PAGEREF _Toc28928 \h </w:instrText>
          </w:r>
          <w:r>
            <w:fldChar w:fldCharType="separate"/>
          </w:r>
          <w:r>
            <w:t>4</w:t>
          </w:r>
          <w:r>
            <w:fldChar w:fldCharType="end"/>
          </w:r>
          <w:r>
            <w:rPr>
              <w:rFonts w:hint="eastAsia" w:ascii="宋体" w:hAnsi="宋体" w:eastAsia="宋体" w:cs="宋体"/>
              <w:szCs w:val="24"/>
            </w:rPr>
            <w:fldChar w:fldCharType="end"/>
          </w:r>
        </w:p>
        <w:p w14:paraId="7FADC25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_Toc21978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技能等级定义</w:t>
          </w:r>
          <w:r>
            <w:tab/>
          </w:r>
          <w:r>
            <w:fldChar w:fldCharType="begin"/>
          </w:r>
          <w:r>
            <w:instrText xml:space="preserve"> PAGEREF _Toc21978 \h </w:instrText>
          </w:r>
          <w:r>
            <w:fldChar w:fldCharType="separate"/>
          </w:r>
          <w:r>
            <w:t>4</w:t>
          </w:r>
          <w:r>
            <w:fldChar w:fldCharType="end"/>
          </w:r>
          <w:r>
            <w:rPr>
              <w:rFonts w:hint="eastAsia" w:ascii="宋体" w:hAnsi="宋体" w:eastAsia="宋体" w:cs="宋体"/>
              <w:szCs w:val="24"/>
            </w:rPr>
            <w:fldChar w:fldCharType="end"/>
          </w:r>
        </w:p>
        <w:p w14:paraId="151FEF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_Toc12087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管理职责</w:t>
          </w:r>
          <w:r>
            <w:tab/>
          </w:r>
          <w:r>
            <w:fldChar w:fldCharType="begin"/>
          </w:r>
          <w:r>
            <w:instrText xml:space="preserve"> PAGEREF _Toc12087 \h </w:instrText>
          </w:r>
          <w:r>
            <w:fldChar w:fldCharType="separate"/>
          </w:r>
          <w:r>
            <w:t>5</w:t>
          </w:r>
          <w:r>
            <w:fldChar w:fldCharType="end"/>
          </w:r>
          <w:r>
            <w:rPr>
              <w:rFonts w:hint="eastAsia" w:ascii="宋体" w:hAnsi="宋体" w:eastAsia="宋体" w:cs="宋体"/>
              <w:szCs w:val="24"/>
            </w:rPr>
            <w:fldChar w:fldCharType="end"/>
          </w:r>
        </w:p>
        <w:p w14:paraId="79B6B99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_Toc1108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人力部</w:t>
          </w:r>
          <w:r>
            <w:tab/>
          </w:r>
          <w:r>
            <w:fldChar w:fldCharType="begin"/>
          </w:r>
          <w:r>
            <w:instrText xml:space="preserve"> PAGEREF _Toc1108 \h </w:instrText>
          </w:r>
          <w:r>
            <w:fldChar w:fldCharType="separate"/>
          </w:r>
          <w:r>
            <w:t>5</w:t>
          </w:r>
          <w:r>
            <w:fldChar w:fldCharType="end"/>
          </w:r>
          <w:r>
            <w:rPr>
              <w:rFonts w:hint="eastAsia" w:ascii="宋体" w:hAnsi="宋体" w:eastAsia="宋体" w:cs="宋体"/>
              <w:szCs w:val="24"/>
            </w:rPr>
            <w:fldChar w:fldCharType="end"/>
          </w:r>
        </w:p>
        <w:p w14:paraId="3F0612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_Toc13970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运维相关部门</w:t>
          </w:r>
          <w:r>
            <w:tab/>
          </w:r>
          <w:r>
            <w:fldChar w:fldCharType="begin"/>
          </w:r>
          <w:r>
            <w:instrText xml:space="preserve"> PAGEREF _Toc13970 \h </w:instrText>
          </w:r>
          <w:r>
            <w:fldChar w:fldCharType="separate"/>
          </w:r>
          <w:r>
            <w:t>5</w:t>
          </w:r>
          <w:r>
            <w:fldChar w:fldCharType="end"/>
          </w:r>
          <w:r>
            <w:rPr>
              <w:rFonts w:hint="eastAsia" w:ascii="宋体" w:hAnsi="宋体" w:eastAsia="宋体" w:cs="宋体"/>
              <w:szCs w:val="24"/>
            </w:rPr>
            <w:fldChar w:fldCharType="end"/>
          </w:r>
        </w:p>
        <w:p w14:paraId="212A519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_Toc19337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公司管理层</w:t>
          </w:r>
          <w:r>
            <w:tab/>
          </w:r>
          <w:r>
            <w:fldChar w:fldCharType="begin"/>
          </w:r>
          <w:r>
            <w:instrText xml:space="preserve"> PAGEREF _Toc19337 \h </w:instrText>
          </w:r>
          <w:r>
            <w:fldChar w:fldCharType="separate"/>
          </w:r>
          <w:r>
            <w:t>6</w:t>
          </w:r>
          <w:r>
            <w:fldChar w:fldCharType="end"/>
          </w:r>
          <w:r>
            <w:rPr>
              <w:rFonts w:hint="eastAsia" w:ascii="宋体" w:hAnsi="宋体" w:eastAsia="宋体" w:cs="宋体"/>
              <w:szCs w:val="24"/>
            </w:rPr>
            <w:fldChar w:fldCharType="end"/>
          </w:r>
        </w:p>
        <w:p w14:paraId="6928C24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_Toc2115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评价周期与流程</w:t>
          </w:r>
          <w:r>
            <w:tab/>
          </w:r>
          <w:r>
            <w:fldChar w:fldCharType="begin"/>
          </w:r>
          <w:r>
            <w:instrText xml:space="preserve"> PAGEREF _Toc2115 \h </w:instrText>
          </w:r>
          <w:r>
            <w:fldChar w:fldCharType="separate"/>
          </w:r>
          <w:r>
            <w:t>6</w:t>
          </w:r>
          <w:r>
            <w:fldChar w:fldCharType="end"/>
          </w:r>
          <w:r>
            <w:rPr>
              <w:rFonts w:hint="eastAsia" w:ascii="宋体" w:hAnsi="宋体" w:eastAsia="宋体" w:cs="宋体"/>
              <w:szCs w:val="24"/>
            </w:rPr>
            <w:fldChar w:fldCharType="end"/>
          </w:r>
        </w:p>
        <w:p w14:paraId="4B6AC94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_Toc8997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评价周期</w:t>
          </w:r>
          <w:r>
            <w:tab/>
          </w:r>
          <w:r>
            <w:fldChar w:fldCharType="begin"/>
          </w:r>
          <w:r>
            <w:instrText xml:space="preserve"> PAGEREF _Toc8997 \h </w:instrText>
          </w:r>
          <w:r>
            <w:fldChar w:fldCharType="separate"/>
          </w:r>
          <w:r>
            <w:t>6</w:t>
          </w:r>
          <w:r>
            <w:fldChar w:fldCharType="end"/>
          </w:r>
          <w:r>
            <w:rPr>
              <w:rFonts w:hint="eastAsia" w:ascii="宋体" w:hAnsi="宋体" w:eastAsia="宋体" w:cs="宋体"/>
              <w:szCs w:val="24"/>
            </w:rPr>
            <w:fldChar w:fldCharType="end"/>
          </w:r>
        </w:p>
        <w:p w14:paraId="479A3D9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_Toc21375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4.2. 评价流程</w:t>
          </w:r>
          <w:r>
            <w:tab/>
          </w:r>
          <w:r>
            <w:fldChar w:fldCharType="begin"/>
          </w:r>
          <w:r>
            <w:instrText xml:space="preserve"> PAGEREF _Toc21375 \h </w:instrText>
          </w:r>
          <w:r>
            <w:fldChar w:fldCharType="separate"/>
          </w:r>
          <w:r>
            <w:t>6</w:t>
          </w:r>
          <w:r>
            <w:fldChar w:fldCharType="end"/>
          </w:r>
          <w:r>
            <w:rPr>
              <w:rFonts w:hint="eastAsia" w:ascii="宋体" w:hAnsi="宋体" w:eastAsia="宋体" w:cs="宋体"/>
              <w:szCs w:val="24"/>
            </w:rPr>
            <w:fldChar w:fldCharType="end"/>
          </w:r>
        </w:p>
        <w:p w14:paraId="3C331C0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_Toc8923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评价内容与标准（概述）</w:t>
          </w:r>
          <w:r>
            <w:tab/>
          </w:r>
          <w:r>
            <w:fldChar w:fldCharType="begin"/>
          </w:r>
          <w:r>
            <w:instrText xml:space="preserve"> PAGEREF _Toc8923 \h </w:instrText>
          </w:r>
          <w:r>
            <w:fldChar w:fldCharType="separate"/>
          </w:r>
          <w:r>
            <w:t>7</w:t>
          </w:r>
          <w:r>
            <w:fldChar w:fldCharType="end"/>
          </w:r>
          <w:r>
            <w:rPr>
              <w:rFonts w:hint="eastAsia" w:ascii="宋体" w:hAnsi="宋体" w:eastAsia="宋体" w:cs="宋体"/>
              <w:szCs w:val="24"/>
            </w:rPr>
            <w:fldChar w:fldCharType="end"/>
          </w:r>
        </w:p>
        <w:p w14:paraId="1CDE588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_Toc10554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履历评审维度（30%）</w:t>
          </w:r>
          <w:r>
            <w:tab/>
          </w:r>
          <w:r>
            <w:fldChar w:fldCharType="begin"/>
          </w:r>
          <w:r>
            <w:instrText xml:space="preserve"> PAGEREF _Toc10554 \h </w:instrText>
          </w:r>
          <w:r>
            <w:fldChar w:fldCharType="separate"/>
          </w:r>
          <w:r>
            <w:t>7</w:t>
          </w:r>
          <w:r>
            <w:fldChar w:fldCharType="end"/>
          </w:r>
          <w:r>
            <w:rPr>
              <w:rFonts w:hint="eastAsia" w:ascii="宋体" w:hAnsi="宋体" w:eastAsia="宋体" w:cs="宋体"/>
              <w:szCs w:val="24"/>
            </w:rPr>
            <w:fldChar w:fldCharType="end"/>
          </w:r>
        </w:p>
        <w:p w14:paraId="45377D8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_Toc14261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能力答辩维度（70%）</w:t>
          </w:r>
          <w:r>
            <w:tab/>
          </w:r>
          <w:r>
            <w:fldChar w:fldCharType="begin"/>
          </w:r>
          <w:r>
            <w:instrText xml:space="preserve"> PAGEREF _Toc14261 \h </w:instrText>
          </w:r>
          <w:r>
            <w:fldChar w:fldCharType="separate"/>
          </w:r>
          <w:r>
            <w:t>7</w:t>
          </w:r>
          <w:r>
            <w:fldChar w:fldCharType="end"/>
          </w:r>
          <w:r>
            <w:rPr>
              <w:rFonts w:hint="eastAsia" w:ascii="宋体" w:hAnsi="宋体" w:eastAsia="宋体" w:cs="宋体"/>
              <w:szCs w:val="24"/>
            </w:rPr>
            <w:fldChar w:fldCharType="end"/>
          </w:r>
        </w:p>
        <w:p w14:paraId="6409F14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_Toc27310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附则</w:t>
          </w:r>
          <w:r>
            <w:tab/>
          </w:r>
          <w:r>
            <w:fldChar w:fldCharType="begin"/>
          </w:r>
          <w:r>
            <w:instrText xml:space="preserve"> PAGEREF _Toc27310 \h </w:instrText>
          </w:r>
          <w:r>
            <w:fldChar w:fldCharType="separate"/>
          </w:r>
          <w:r>
            <w:t>7</w:t>
          </w:r>
          <w:r>
            <w:fldChar w:fldCharType="end"/>
          </w:r>
          <w:r>
            <w:rPr>
              <w:rFonts w:hint="eastAsia" w:ascii="宋体" w:hAnsi="宋体" w:eastAsia="宋体" w:cs="宋体"/>
              <w:szCs w:val="24"/>
            </w:rPr>
            <w:fldChar w:fldCharType="end"/>
          </w:r>
        </w:p>
        <w:p w14:paraId="028BF3F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59F649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0C85FA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13258"/>
      <w:r>
        <w:rPr>
          <w:rFonts w:hint="eastAsia"/>
          <w:lang w:val="en-US" w:eastAsia="zh-CN"/>
        </w:rPr>
        <w:t>总则</w:t>
      </w:r>
      <w:bookmarkEnd w:id="2"/>
    </w:p>
    <w:p w14:paraId="638F968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1668"/>
      <w:r>
        <w:rPr>
          <w:rFonts w:hint="eastAsia"/>
          <w:lang w:val="en-US" w:eastAsia="zh-CN"/>
        </w:rPr>
        <w:t>目的</w:t>
      </w:r>
      <w:bookmarkEnd w:id="3"/>
    </w:p>
    <w:p w14:paraId="6E515CE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为建立科学、公正的员工技能评价与职业发展体系，畅通专业技术人才发展通道，激励员工持续提升软件运维服务专业技能与综合素质，支撑公司业务发展对人才的需求，特制定本制度。</w:t>
      </w:r>
    </w:p>
    <w:p w14:paraId="11E6714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21366"/>
      <w:r>
        <w:rPr>
          <w:rFonts w:hint="eastAsia"/>
          <w:lang w:val="en-US" w:eastAsia="zh-CN"/>
        </w:rPr>
        <w:t>适用范围</w:t>
      </w:r>
      <w:bookmarkEnd w:id="4"/>
    </w:p>
    <w:p w14:paraId="5C8E811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本制度适用于公司所有从事软件运维服务及相关技术工作的专业岗位员工。管理岗位的晋升评价依据干部管理相关规定执行。</w:t>
      </w:r>
    </w:p>
    <w:p w14:paraId="38D4200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5007"/>
      <w:r>
        <w:rPr>
          <w:rFonts w:hint="eastAsia"/>
          <w:lang w:val="en-US" w:eastAsia="zh-CN"/>
        </w:rPr>
        <w:t>原则</w:t>
      </w:r>
      <w:bookmarkEnd w:id="5"/>
    </w:p>
    <w:p w14:paraId="7D650777">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公开公平原则：评价标准、流程、结果公开透明，确保机会公平。</w:t>
      </w:r>
    </w:p>
    <w:p w14:paraId="1106A23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能力导向原则：以岗位所需核心能力及实际贡献为主要评价依据。</w:t>
      </w:r>
    </w:p>
    <w:p w14:paraId="5CA96CB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动态发展原则：评价与等级实行动态管理，能上能下，鼓励持续进步。</w:t>
      </w:r>
    </w:p>
    <w:p w14:paraId="1BCC34D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业务结合原则：技能等级与薪酬激励、培训发展、项目任用等紧密结合。</w:t>
      </w:r>
    </w:p>
    <w:p w14:paraId="7CD614C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5240"/>
      <w:r>
        <w:rPr>
          <w:rFonts w:hint="eastAsia"/>
          <w:lang w:val="en-US" w:eastAsia="zh-CN"/>
        </w:rPr>
        <w:t>技能等级体系</w:t>
      </w:r>
      <w:bookmarkEnd w:id="6"/>
    </w:p>
    <w:p w14:paraId="5802260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28928"/>
      <w:r>
        <w:rPr>
          <w:rFonts w:hint="eastAsia"/>
          <w:lang w:val="en-US" w:eastAsia="zh-CN"/>
        </w:rPr>
        <w:t>专业序列划分</w:t>
      </w:r>
      <w:bookmarkEnd w:id="7"/>
    </w:p>
    <w:p w14:paraId="6BED6DF8">
      <w:pPr>
        <w:pStyle w:val="29"/>
        <w:bidi w:val="0"/>
        <w:rPr>
          <w:rFonts w:hint="eastAsia"/>
          <w:lang w:val="en-US" w:eastAsia="zh-CN"/>
        </w:rPr>
      </w:pPr>
      <w:r>
        <w:rPr>
          <w:rFonts w:hint="eastAsia"/>
          <w:lang w:val="en-US" w:eastAsia="zh-CN"/>
        </w:rPr>
        <w:t>根据公司业务特点，设立以下专业发展序列，各序列内设置从低到高的技能等级：</w:t>
      </w:r>
    </w:p>
    <w:p w14:paraId="7BA35BF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技术运维序列：主要面向数智运营部、研究总院等部门的一线运维、技术支持、系统研发等岗位。</w:t>
      </w:r>
    </w:p>
    <w:p w14:paraId="58C20A4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质量管理序列：主要面向质量管理部、应急管理部等部门的质量保证、流程改进、风险管控等岗位。</w:t>
      </w:r>
    </w:p>
    <w:p w14:paraId="79436BE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21978"/>
      <w:r>
        <w:rPr>
          <w:rFonts w:hint="eastAsia"/>
          <w:lang w:val="en-US" w:eastAsia="zh-CN"/>
        </w:rPr>
        <w:t>技能等级定义</w:t>
      </w:r>
      <w:bookmarkEnd w:id="8"/>
    </w:p>
    <w:p w14:paraId="4ABCAEB8">
      <w:pPr>
        <w:pStyle w:val="29"/>
        <w:bidi w:val="0"/>
        <w:rPr>
          <w:rFonts w:hint="eastAsia"/>
          <w:lang w:val="en-US" w:eastAsia="zh-CN"/>
        </w:rPr>
      </w:pPr>
      <w:r>
        <w:rPr>
          <w:rFonts w:hint="eastAsia"/>
          <w:lang w:val="en-US" w:eastAsia="zh-CN"/>
        </w:rPr>
        <w:t>各专业序列的技能等级分为初级（T1）、中级（T2）、高级（T3）、专家（T4）、资深专家（T5）五个级别。各级别核心定义如下：</w:t>
      </w:r>
    </w:p>
    <w:p w14:paraId="5333DC7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T1 初级：能够在指导下完成常规、标准化的运维或质量工作任务。</w:t>
      </w:r>
    </w:p>
    <w:p w14:paraId="2C71BF3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T2 中级：能独立负责某一领域或模块的工作，具备初步的问题分析与解决能力。</w:t>
      </w:r>
    </w:p>
    <w:p w14:paraId="3DAB20C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T3 高级：能独立负责复杂任务或小型项目，具备技术攻坚和指导初级员工的能力。</w:t>
      </w:r>
    </w:p>
    <w:p w14:paraId="7DA9A1E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T4 专家：在特定技术或业务领域有深厚积累，能主导关键技术方案设计与难题攻关，对业务有显著影响。</w:t>
      </w:r>
    </w:p>
    <w:p w14:paraId="24B7693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T5 资深专家：公司级技术/业务权威，能规划领域技术方向，解决战略性复杂问题，行业内有较高知名度。</w:t>
      </w:r>
    </w:p>
    <w:p w14:paraId="5C932B5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（注：各序列具体等级任职资格标准由人力部会同业务部门另行制定细则。）</w:t>
      </w:r>
    </w:p>
    <w:p w14:paraId="5B98EA20">
      <w:pPr>
        <w:pStyle w:val="28"/>
        <w:bidi w:val="0"/>
        <w:rPr>
          <w:rFonts w:hint="eastAsia"/>
          <w:lang w:val="en-US" w:eastAsia="zh-CN"/>
        </w:rPr>
      </w:pPr>
      <w:bookmarkStart w:id="9" w:name="_Toc12087"/>
      <w:r>
        <w:rPr>
          <w:rFonts w:hint="eastAsia"/>
          <w:lang w:val="en-US" w:eastAsia="zh-CN"/>
        </w:rPr>
        <w:t>管理职责</w:t>
      </w:r>
      <w:bookmarkEnd w:id="9"/>
    </w:p>
    <w:p w14:paraId="7C45F799">
      <w:pPr>
        <w:pStyle w:val="30"/>
        <w:bidi w:val="0"/>
        <w:rPr>
          <w:rFonts w:hint="eastAsia"/>
          <w:lang w:val="en-US" w:eastAsia="zh-CN"/>
        </w:rPr>
      </w:pPr>
      <w:bookmarkStart w:id="10" w:name="_Toc1108"/>
      <w:r>
        <w:rPr>
          <w:rFonts w:hint="eastAsia"/>
          <w:lang w:val="en-US" w:eastAsia="zh-CN"/>
        </w:rPr>
        <w:t>人力部</w:t>
      </w:r>
      <w:bookmarkEnd w:id="10"/>
    </w:p>
    <w:p w14:paraId="4639487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负责本制度的制定、修订、解释与宣传。</w:t>
      </w:r>
    </w:p>
    <w:p w14:paraId="4615FAF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负责组织年度或定期技能评价工作的具体实施，包括发布通知、接收申请、组织评审会议等。</w:t>
      </w:r>
    </w:p>
    <w:p w14:paraId="6B5C2F3E">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负责组建针对每次评价的临时评审小组，并牵头开展综合评价。</w:t>
      </w:r>
    </w:p>
    <w:p w14:paraId="015EBC00">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负责评价结果的归档、应用、反馈及与薪酬福利的对接。</w:t>
      </w:r>
    </w:p>
    <w:p w14:paraId="25F683FF">
      <w:pPr>
        <w:pStyle w:val="30"/>
        <w:bidi w:val="0"/>
        <w:rPr>
          <w:rFonts w:hint="eastAsia"/>
          <w:lang w:val="en-US" w:eastAsia="zh-CN"/>
        </w:rPr>
      </w:pPr>
      <w:bookmarkStart w:id="11" w:name="_Toc13970"/>
      <w:r>
        <w:rPr>
          <w:rFonts w:hint="eastAsia"/>
          <w:lang w:val="en-US" w:eastAsia="zh-CN"/>
        </w:rPr>
        <w:t>运维相关部门</w:t>
      </w:r>
      <w:bookmarkEnd w:id="11"/>
    </w:p>
    <w:p w14:paraId="7FF23BD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负责依据制度向员工宣贯技能发展路径，并参与制定和细化本序列任职资格标准。</w:t>
      </w:r>
    </w:p>
    <w:p w14:paraId="7BAC104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负责客观、公正地推荐参评人员，审核申请材料并提供专业的业绩证明与初步评估意见。</w:t>
      </w:r>
    </w:p>
    <w:p w14:paraId="1AE1B73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根据人力部安排，指派部门内高级别技术或业务专家参与具体评审工作。</w:t>
      </w:r>
    </w:p>
    <w:p w14:paraId="71A5B91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负责落实评价结果，在项目安排、任务分配及员工培养中应用技能等级。</w:t>
      </w:r>
    </w:p>
    <w:p w14:paraId="37E6AA40">
      <w:pPr>
        <w:pStyle w:val="30"/>
        <w:bidi w:val="0"/>
        <w:rPr>
          <w:rFonts w:hint="eastAsia"/>
          <w:lang w:val="en-US" w:eastAsia="zh-CN"/>
        </w:rPr>
      </w:pPr>
      <w:bookmarkStart w:id="12" w:name="_Toc19337"/>
      <w:r>
        <w:rPr>
          <w:rFonts w:hint="eastAsia"/>
          <w:lang w:val="en-US" w:eastAsia="zh-CN"/>
        </w:rPr>
        <w:t>公司管理层</w:t>
      </w:r>
      <w:bookmarkEnd w:id="12"/>
    </w:p>
    <w:p w14:paraId="0EBEEB7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负责审批最终的技能等级晋升名单。</w:t>
      </w:r>
    </w:p>
    <w:p w14:paraId="25C64BA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对评价过程中的重大事项或争议进行裁决。</w:t>
      </w:r>
    </w:p>
    <w:p w14:paraId="7F1E7941">
      <w:pPr>
        <w:pStyle w:val="28"/>
        <w:bidi w:val="0"/>
        <w:rPr>
          <w:rFonts w:hint="eastAsia"/>
          <w:lang w:val="en-US" w:eastAsia="zh-CN"/>
        </w:rPr>
      </w:pPr>
      <w:bookmarkStart w:id="13" w:name="_Toc2115"/>
      <w:r>
        <w:rPr>
          <w:rFonts w:hint="eastAsia"/>
          <w:lang w:val="en-US" w:eastAsia="zh-CN"/>
        </w:rPr>
        <w:t>评价周期与流程</w:t>
      </w:r>
      <w:bookmarkEnd w:id="13"/>
    </w:p>
    <w:p w14:paraId="23F9C91E">
      <w:pPr>
        <w:pStyle w:val="30"/>
        <w:bidi w:val="0"/>
        <w:rPr>
          <w:rFonts w:hint="eastAsia"/>
          <w:lang w:val="en-US" w:eastAsia="zh-CN"/>
        </w:rPr>
      </w:pPr>
      <w:bookmarkStart w:id="14" w:name="_Toc8997"/>
      <w:r>
        <w:rPr>
          <w:rFonts w:hint="eastAsia"/>
          <w:lang w:val="en-US" w:eastAsia="zh-CN"/>
        </w:rPr>
        <w:t>评价周期</w:t>
      </w:r>
      <w:bookmarkEnd w:id="14"/>
    </w:p>
    <w:p w14:paraId="6230854F">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常规评价：每年组织一次集中评价。</w:t>
      </w:r>
    </w:p>
    <w:p w14:paraId="423AEF3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破格评价：对于有突出贡献或重大技术突破的员工，可经部门推荐、公司批准后启动特殊评价程序。</w:t>
      </w:r>
    </w:p>
    <w:p w14:paraId="44A92A71">
      <w:pPr>
        <w:pStyle w:val="30"/>
        <w:bidi w:val="0"/>
        <w:rPr>
          <w:rFonts w:hint="eastAsia"/>
          <w:lang w:val="en-US" w:eastAsia="zh-CN"/>
        </w:rPr>
      </w:pPr>
      <w:bookmarkStart w:id="15" w:name="_Toc21375"/>
      <w:r>
        <w:rPr>
          <w:rFonts w:hint="eastAsia"/>
          <w:lang w:val="en-US" w:eastAsia="zh-CN"/>
        </w:rPr>
        <w:t>4.2. 评价流程</w:t>
      </w:r>
      <w:bookmarkEnd w:id="15"/>
    </w:p>
    <w:p w14:paraId="0AF65AE0">
      <w:pPr>
        <w:pStyle w:val="29"/>
        <w:numPr>
          <w:ilvl w:val="0"/>
          <w:numId w:val="4"/>
        </w:numPr>
        <w:ind w:left="425" w:leftChars="0" w:hanging="425" w:firstLineChars="0"/>
        <w:rPr>
          <w:rFonts w:hint="eastAsia"/>
          <w:lang w:val="en-US" w:eastAsia="zh-CN"/>
        </w:rPr>
      </w:pPr>
      <w:r>
        <w:rPr>
          <w:rFonts w:hint="eastAsia"/>
          <w:lang w:val="en-US" w:eastAsia="zh-CN"/>
        </w:rPr>
        <w:t>启动与申请：人力部发布评价通知。员工依据现有等级及能力现状，填写《技能等级晋升申请表》，并附上相关证明材料，经直接上级及部门负责人审核推荐后提交至人力部。</w:t>
      </w:r>
    </w:p>
    <w:p w14:paraId="7ED5951F">
      <w:pPr>
        <w:pStyle w:val="29"/>
        <w:numPr>
          <w:ilvl w:val="0"/>
          <w:numId w:val="4"/>
        </w:numPr>
        <w:ind w:left="425" w:leftChars="0" w:hanging="425" w:firstLineChars="0"/>
        <w:rPr>
          <w:rFonts w:hint="eastAsia"/>
          <w:lang w:val="en-US" w:eastAsia="zh-CN"/>
        </w:rPr>
      </w:pPr>
      <w:r>
        <w:rPr>
          <w:rFonts w:hint="eastAsia"/>
          <w:lang w:val="en-US" w:eastAsia="zh-CN"/>
        </w:rPr>
        <w:t>资格审查：人力部联合相关业务部门对申请人的基本条件（如司龄、当前绩效等级、项目经历等）进行审查。</w:t>
      </w:r>
    </w:p>
    <w:p w14:paraId="5D3F1A27">
      <w:pPr>
        <w:pStyle w:val="29"/>
        <w:numPr>
          <w:ilvl w:val="0"/>
          <w:numId w:val="4"/>
        </w:numPr>
        <w:ind w:left="425" w:leftChars="0" w:hanging="425" w:firstLineChars="0"/>
        <w:rPr>
          <w:rFonts w:hint="eastAsia"/>
          <w:lang w:val="en-US" w:eastAsia="zh-CN"/>
        </w:rPr>
      </w:pPr>
      <w:r>
        <w:rPr>
          <w:rFonts w:hint="eastAsia"/>
          <w:lang w:val="en-US" w:eastAsia="zh-CN"/>
        </w:rPr>
        <w:t>综合评价：人力部牵头组织综合评价，采取“履历评审”与“能力评议”相结合的方式。</w:t>
      </w:r>
    </w:p>
    <w:p w14:paraId="09E9603E">
      <w:pPr>
        <w:pStyle w:val="29"/>
        <w:numPr>
          <w:ilvl w:val="0"/>
          <w:numId w:val="5"/>
        </w:numPr>
        <w:ind w:left="845" w:leftChars="0" w:hanging="425" w:firstLineChars="0"/>
        <w:rPr>
          <w:rFonts w:hint="eastAsia"/>
          <w:lang w:val="en-US" w:eastAsia="zh-CN"/>
        </w:rPr>
      </w:pPr>
      <w:r>
        <w:rPr>
          <w:rFonts w:hint="eastAsia"/>
          <w:lang w:val="en-US" w:eastAsia="zh-CN"/>
        </w:rPr>
        <w:t>履历评审（权重30%）：由人力部与业务部门代表组成工作小组，基于申请人材料，对照标准进行量化评分。</w:t>
      </w:r>
    </w:p>
    <w:p w14:paraId="374275CB">
      <w:pPr>
        <w:pStyle w:val="29"/>
        <w:numPr>
          <w:ilvl w:val="0"/>
          <w:numId w:val="5"/>
        </w:numPr>
        <w:ind w:left="845" w:leftChars="0" w:hanging="425" w:firstLineChars="0"/>
        <w:rPr>
          <w:rFonts w:hint="eastAsia"/>
          <w:lang w:val="en-US" w:eastAsia="zh-CN"/>
        </w:rPr>
      </w:pPr>
      <w:r>
        <w:rPr>
          <w:rFonts w:hint="eastAsia"/>
          <w:lang w:val="en-US" w:eastAsia="zh-CN"/>
        </w:rPr>
        <w:t>能力评议（权重70%）：由人力部召集，邀请公司管理层代表、相关业务部门负责人及资深专家（T4及以上）组成评议组，通过述职答辩、案例评审等形式，对申请人的专业能力、解决问题能力、创新能力等进行评议打分。</w:t>
      </w:r>
    </w:p>
    <w:p w14:paraId="08DBB8BA">
      <w:pPr>
        <w:pStyle w:val="29"/>
        <w:numPr>
          <w:ilvl w:val="0"/>
          <w:numId w:val="4"/>
        </w:numPr>
        <w:ind w:left="425" w:leftChars="0" w:hanging="425" w:firstLineChars="0"/>
        <w:rPr>
          <w:rFonts w:hint="eastAsia"/>
          <w:lang w:val="en-US" w:eastAsia="zh-CN"/>
        </w:rPr>
      </w:pPr>
      <w:r>
        <w:rPr>
          <w:rFonts w:hint="eastAsia"/>
          <w:lang w:val="en-US" w:eastAsia="zh-CN"/>
        </w:rPr>
        <w:t>结果拟定与审批：人力部汇总计算最终得分与排序，结合公司人才发展规划，拟定晋升建议名单，报公司管理层审批。</w:t>
      </w:r>
    </w:p>
    <w:p w14:paraId="227C1F34">
      <w:pPr>
        <w:pStyle w:val="29"/>
        <w:numPr>
          <w:ilvl w:val="0"/>
          <w:numId w:val="4"/>
        </w:numPr>
        <w:ind w:left="425" w:leftChars="0" w:hanging="425" w:firstLineChars="0"/>
        <w:rPr>
          <w:rFonts w:hint="eastAsia"/>
          <w:lang w:val="en-US" w:eastAsia="zh-CN"/>
        </w:rPr>
      </w:pPr>
      <w:r>
        <w:rPr>
          <w:rFonts w:hint="eastAsia"/>
          <w:lang w:val="en-US" w:eastAsia="zh-CN"/>
        </w:rPr>
        <w:t>结果公示与应用：审批通过的名单予以公示。技能等级调整与薪酬福利等挂钩，自批准后的次月起生效。人力部将结果正式通知员工及所在部门。</w:t>
      </w:r>
    </w:p>
    <w:p w14:paraId="6AD0461B">
      <w:pPr>
        <w:pStyle w:val="28"/>
        <w:bidi w:val="0"/>
        <w:rPr>
          <w:rFonts w:hint="eastAsia"/>
          <w:lang w:val="en-US" w:eastAsia="zh-CN"/>
        </w:rPr>
      </w:pPr>
      <w:bookmarkStart w:id="16" w:name="_Toc8923"/>
      <w:r>
        <w:rPr>
          <w:rFonts w:hint="eastAsia"/>
          <w:lang w:val="en-US" w:eastAsia="zh-CN"/>
        </w:rPr>
        <w:t>评价内容与标准（概述）</w:t>
      </w:r>
      <w:bookmarkEnd w:id="16"/>
    </w:p>
    <w:p w14:paraId="3B726DA0">
      <w:pPr>
        <w:pStyle w:val="40"/>
        <w:bidi w:val="0"/>
        <w:rPr>
          <w:rFonts w:hint="eastAsia"/>
          <w:lang w:val="en-US" w:eastAsia="zh-CN"/>
        </w:rPr>
      </w:pPr>
      <w:r>
        <w:rPr>
          <w:rFonts w:hint="eastAsia"/>
          <w:lang w:val="en-US" w:eastAsia="zh-CN"/>
        </w:rPr>
        <w:t>综合评价基于以下维度展开，具体评分细则见附件《员工任职能力评价表》：</w:t>
      </w:r>
    </w:p>
    <w:p w14:paraId="709BD8CD">
      <w:pPr>
        <w:pStyle w:val="30"/>
        <w:bidi w:val="0"/>
        <w:rPr>
          <w:rFonts w:hint="eastAsia"/>
          <w:lang w:val="en-US" w:eastAsia="zh-CN"/>
        </w:rPr>
      </w:pPr>
      <w:bookmarkStart w:id="17" w:name="_Toc10554"/>
      <w:r>
        <w:rPr>
          <w:rFonts w:hint="eastAsia"/>
          <w:lang w:val="en-US" w:eastAsia="zh-CN"/>
        </w:rPr>
        <w:t>履历评审维度（30%）</w:t>
      </w:r>
      <w:bookmarkEnd w:id="17"/>
    </w:p>
    <w:p w14:paraId="427E3ED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基本素质（20%）：包括学历背景、相关工作经验年限等。</w:t>
      </w:r>
    </w:p>
    <w:p w14:paraId="45D4A97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历史贡献（80%）：重点考察过往两年内的绩效考核结果、参与重点项目中的角色与成果、技术创新、专利、荣誉获奖等。</w:t>
      </w:r>
    </w:p>
    <w:p w14:paraId="3E1B7E49">
      <w:pPr>
        <w:pStyle w:val="30"/>
        <w:bidi w:val="0"/>
        <w:rPr>
          <w:rFonts w:hint="eastAsia"/>
          <w:lang w:val="en-US" w:eastAsia="zh-CN"/>
        </w:rPr>
      </w:pPr>
      <w:bookmarkStart w:id="18" w:name="_Toc14261"/>
      <w:r>
        <w:rPr>
          <w:rFonts w:hint="eastAsia"/>
          <w:lang w:val="en-US" w:eastAsia="zh-CN"/>
        </w:rPr>
        <w:t>能力答辩维度（70%）</w:t>
      </w:r>
      <w:bookmarkEnd w:id="18"/>
    </w:p>
    <w:p w14:paraId="08E1ED8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专业能力（40%）：对本职专业领域知识、技能、流程、工具的掌握深度与广度，以及解决复杂技术问题的能力。</w:t>
      </w:r>
    </w:p>
    <w:p w14:paraId="3829D9E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计划执行能力（20%）：目标分解、计划制定、资源协调与任务达成的能力。</w:t>
      </w:r>
    </w:p>
    <w:p w14:paraId="560D6CC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创新能力（20%）：在工作中引入新方法、新思路，优化流程或技术，创造新价值的能力。</w:t>
      </w:r>
    </w:p>
    <w:p w14:paraId="60F3FC9B">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团队协作与敬业精神（20%）：在团队中的合作意识、沟通能力、奉献精神及职业操守。</w:t>
      </w:r>
    </w:p>
    <w:p w14:paraId="53E102FD">
      <w:pPr>
        <w:pStyle w:val="28"/>
        <w:bidi w:val="0"/>
        <w:rPr>
          <w:rFonts w:hint="eastAsia"/>
          <w:lang w:val="en-US" w:eastAsia="zh-CN"/>
        </w:rPr>
      </w:pPr>
      <w:bookmarkStart w:id="19" w:name="_Toc27310"/>
      <w:r>
        <w:rPr>
          <w:rFonts w:hint="eastAsia"/>
          <w:lang w:val="en-US" w:eastAsia="zh-CN"/>
        </w:rPr>
        <w:t>附则</w:t>
      </w:r>
      <w:bookmarkEnd w:id="19"/>
    </w:p>
    <w:p w14:paraId="10099C9E">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本制度由人力部负责解释与修订。</w:t>
      </w:r>
    </w:p>
    <w:p w14:paraId="06F1C18A">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本制度自发布之日起执行。</w:t>
      </w:r>
    </w:p>
    <w:p w14:paraId="610E0929">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附件《员工任职能力评价表》为本制度组成部分，由人力部负责维护与更新。</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CBBDC">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C3ED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BBCC47E"/>
    <w:multiLevelType w:val="singleLevel"/>
    <w:tmpl w:val="CBBCC47E"/>
    <w:lvl w:ilvl="0" w:tentative="0">
      <w:start w:val="1"/>
      <w:numFmt w:val="decimal"/>
      <w:lvlText w:val="%1."/>
      <w:lvlJc w:val="left"/>
      <w:pPr>
        <w:ind w:left="425" w:hanging="425"/>
      </w:pPr>
      <w:rPr>
        <w:rFonts w:hint="default"/>
      </w:rPr>
    </w:lvl>
  </w:abstractNum>
  <w:abstractNum w:abstractNumId="2">
    <w:nsid w:val="D7519669"/>
    <w:multiLevelType w:val="singleLevel"/>
    <w:tmpl w:val="D7519669"/>
    <w:lvl w:ilvl="0" w:tentative="0">
      <w:start w:val="1"/>
      <w:numFmt w:val="decimal"/>
      <w:lvlText w:val="%1."/>
      <w:lvlJc w:val="left"/>
      <w:pPr>
        <w:ind w:left="425" w:hanging="425"/>
      </w:pPr>
      <w:rPr>
        <w:rFonts w:hint="default"/>
      </w:rPr>
    </w:lvl>
  </w:abstractNum>
  <w:abstractNum w:abstractNumId="3">
    <w:nsid w:val="DF771305"/>
    <w:multiLevelType w:val="singleLevel"/>
    <w:tmpl w:val="DF771305"/>
    <w:lvl w:ilvl="0" w:tentative="0">
      <w:start w:val="1"/>
      <w:numFmt w:val="decimal"/>
      <w:lvlText w:val="%1."/>
      <w:lvlJc w:val="left"/>
      <w:pPr>
        <w:ind w:left="425" w:hanging="425"/>
      </w:pPr>
      <w:rPr>
        <w:rFonts w:hint="default"/>
      </w:rPr>
    </w:lvl>
  </w:abstractNum>
  <w:abstractNum w:abstractNumId="4">
    <w:nsid w:val="FB6490F9"/>
    <w:multiLevelType w:val="singleLevel"/>
    <w:tmpl w:val="FB6490F9"/>
    <w:lvl w:ilvl="0" w:tentative="0">
      <w:start w:val="1"/>
      <w:numFmt w:val="decimal"/>
      <w:lvlText w:val="(%1)"/>
      <w:lvlJc w:val="left"/>
      <w:pPr>
        <w:tabs>
          <w:tab w:val="left" w:pos="420"/>
        </w:tabs>
        <w:ind w:left="845" w:hanging="425"/>
      </w:pPr>
      <w:rPr>
        <w:rFonts w:hint="default"/>
      </w:rPr>
    </w:lvl>
  </w:abstractNum>
  <w:abstractNum w:abstractNumId="5">
    <w:nsid w:val="6186E790"/>
    <w:multiLevelType w:val="singleLevel"/>
    <w:tmpl w:val="6186E790"/>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5"/>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CA6449"/>
    <w:rsid w:val="07D44916"/>
    <w:rsid w:val="08F24482"/>
    <w:rsid w:val="1FF02946"/>
    <w:rsid w:val="23BA1BE8"/>
    <w:rsid w:val="341449FD"/>
    <w:rsid w:val="388365F5"/>
    <w:rsid w:val="393A114C"/>
    <w:rsid w:val="39965EB4"/>
    <w:rsid w:val="3F9B43DA"/>
    <w:rsid w:val="4A00374F"/>
    <w:rsid w:val="4D515A72"/>
    <w:rsid w:val="632919C3"/>
    <w:rsid w:val="63CC7EF0"/>
    <w:rsid w:val="727231A7"/>
    <w:rsid w:val="73FE1199"/>
    <w:rsid w:val="74F87447"/>
    <w:rsid w:val="7EA128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link w:val="43"/>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正文_无缩进 Char"/>
    <w:link w:val="40"/>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2099</Words>
  <Characters>2237</Characters>
  <Lines>0</Lines>
  <Paragraphs>0</Paragraphs>
  <TotalTime>0</TotalTime>
  <ScaleCrop>false</ScaleCrop>
  <LinksUpToDate>false</LinksUpToDate>
  <CharactersWithSpaces>2322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2026-01-16T19:09:33Z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