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5BF71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687"/>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08223D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32497"/>
      <w:r>
        <w:rPr>
          <w:rFonts w:hint="eastAsia"/>
          <w:lang w:val="en-US" w:eastAsia="zh-CN"/>
        </w:rPr>
        <w:t>人员管理计划</w:t>
      </w:r>
      <w:bookmarkEnd w:id="1"/>
    </w:p>
    <w:p w14:paraId="05D53F4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9</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CE35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F5C538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2AB8EAA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C896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25D2EB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937D4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E1817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D52CFE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4C4785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2AB33BD">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4B555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B9D1240">
      <w:pPr>
        <w:keepNext w:val="0"/>
        <w:keepLines w:val="0"/>
        <w:pageBreakBefore w:val="0"/>
        <w:widowControl w:val="0"/>
        <w:kinsoku w:val="0"/>
        <w:wordWrap/>
        <w:overflowPunct/>
        <w:autoSpaceDE w:val="0"/>
        <w:autoSpaceDN w:val="0"/>
        <w:bidi w:val="0"/>
        <w:adjustRightInd w:val="0"/>
        <w:snapToGrid w:val="0"/>
        <w:textAlignment w:val="baseline"/>
      </w:pPr>
      <w:bookmarkStart w:id="27" w:name="_GoBack"/>
      <w:bookmarkEnd w:id="27"/>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B240271">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36A047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_Toc23687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_Toc23687 \h </w:instrText>
          </w:r>
          <w:r>
            <w:fldChar w:fldCharType="separate"/>
          </w:r>
          <w:r>
            <w:t>1</w:t>
          </w:r>
          <w:r>
            <w:fldChar w:fldCharType="end"/>
          </w:r>
          <w:r>
            <w:rPr>
              <w:rFonts w:hint="eastAsia" w:ascii="宋体" w:hAnsi="宋体" w:eastAsia="宋体" w:cs="宋体"/>
              <w:szCs w:val="24"/>
            </w:rPr>
            <w:fldChar w:fldCharType="end"/>
          </w:r>
        </w:p>
        <w:p w14:paraId="374630C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_Toc32497 </w:instrText>
          </w:r>
          <w:r>
            <w:rPr>
              <w:rFonts w:hint="eastAsia" w:ascii="宋体" w:hAnsi="宋体" w:eastAsia="宋体" w:cs="宋体"/>
              <w:szCs w:val="24"/>
            </w:rPr>
            <w:fldChar w:fldCharType="separate"/>
          </w:r>
          <w:r>
            <w:rPr>
              <w:rFonts w:hint="eastAsia"/>
              <w:lang w:val="en-US" w:eastAsia="zh-CN"/>
            </w:rPr>
            <w:t>人员管理计划</w:t>
          </w:r>
          <w:r>
            <w:tab/>
          </w:r>
          <w:r>
            <w:fldChar w:fldCharType="begin"/>
          </w:r>
          <w:r>
            <w:instrText xml:space="preserve"> PAGEREF _Toc32497 \h </w:instrText>
          </w:r>
          <w:r>
            <w:fldChar w:fldCharType="separate"/>
          </w:r>
          <w:r>
            <w:t>1</w:t>
          </w:r>
          <w:r>
            <w:fldChar w:fldCharType="end"/>
          </w:r>
          <w:r>
            <w:rPr>
              <w:rFonts w:hint="eastAsia" w:ascii="宋体" w:hAnsi="宋体" w:eastAsia="宋体" w:cs="宋体"/>
              <w:szCs w:val="24"/>
            </w:rPr>
            <w:fldChar w:fldCharType="end"/>
          </w:r>
        </w:p>
        <w:p w14:paraId="70402B9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_Toc28454 </w:instrText>
          </w:r>
          <w:r>
            <w:rPr>
              <w:rFonts w:hint="eastAsia" w:ascii="宋体" w:hAnsi="宋体" w:eastAsia="宋体" w:cs="宋体"/>
              <w:szCs w:val="24"/>
            </w:rPr>
            <w:fldChar w:fldCharType="separate"/>
          </w:r>
          <w:r>
            <w:rPr>
              <w:rFonts w:hint="default"/>
            </w:rPr>
            <w:t xml:space="preserve">1. </w:t>
          </w:r>
          <w:r>
            <w:rPr>
              <w:rFonts w:hint="eastAsia"/>
              <w:lang w:val="en-US" w:eastAsia="zh-CN"/>
            </w:rPr>
            <w:t>公司现状与规划</w:t>
          </w:r>
          <w:r>
            <w:tab/>
          </w:r>
          <w:r>
            <w:fldChar w:fldCharType="begin"/>
          </w:r>
          <w:r>
            <w:instrText xml:space="preserve"> PAGEREF _Toc28454 \h </w:instrText>
          </w:r>
          <w:r>
            <w:fldChar w:fldCharType="separate"/>
          </w:r>
          <w:r>
            <w:t>4</w:t>
          </w:r>
          <w:r>
            <w:fldChar w:fldCharType="end"/>
          </w:r>
          <w:r>
            <w:rPr>
              <w:rFonts w:hint="eastAsia" w:ascii="宋体" w:hAnsi="宋体" w:eastAsia="宋体" w:cs="宋体"/>
              <w:szCs w:val="24"/>
            </w:rPr>
            <w:fldChar w:fldCharType="end"/>
          </w:r>
        </w:p>
        <w:p w14:paraId="0436E8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_Toc22624 </w:instrText>
          </w:r>
          <w:r>
            <w:rPr>
              <w:rFonts w:hint="eastAsia" w:ascii="宋体" w:hAnsi="宋体" w:eastAsia="宋体" w:cs="宋体"/>
              <w:szCs w:val="24"/>
            </w:rPr>
            <w:fldChar w:fldCharType="separate"/>
          </w:r>
          <w:r>
            <w:rPr>
              <w:rFonts w:hint="default"/>
            </w:rPr>
            <w:t xml:space="preserve">1.1. </w:t>
          </w:r>
          <w:r>
            <w:rPr>
              <w:rFonts w:hint="eastAsia"/>
            </w:rPr>
            <w:t>公司现状</w:t>
          </w:r>
          <w:r>
            <w:tab/>
          </w:r>
          <w:r>
            <w:fldChar w:fldCharType="begin"/>
          </w:r>
          <w:r>
            <w:instrText xml:space="preserve"> PAGEREF _Toc22624 \h </w:instrText>
          </w:r>
          <w:r>
            <w:fldChar w:fldCharType="separate"/>
          </w:r>
          <w:r>
            <w:t>4</w:t>
          </w:r>
          <w:r>
            <w:fldChar w:fldCharType="end"/>
          </w:r>
          <w:r>
            <w:rPr>
              <w:rFonts w:hint="eastAsia" w:ascii="宋体" w:hAnsi="宋体" w:eastAsia="宋体" w:cs="宋体"/>
              <w:szCs w:val="24"/>
            </w:rPr>
            <w:fldChar w:fldCharType="end"/>
          </w:r>
        </w:p>
        <w:p w14:paraId="25E8362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_Toc28310 </w:instrText>
          </w:r>
          <w:r>
            <w:rPr>
              <w:rFonts w:hint="eastAsia" w:ascii="宋体" w:hAnsi="宋体" w:eastAsia="宋体" w:cs="宋体"/>
              <w:szCs w:val="24"/>
            </w:rPr>
            <w:fldChar w:fldCharType="separate"/>
          </w:r>
          <w:r>
            <w:rPr>
              <w:rFonts w:hint="default"/>
            </w:rPr>
            <w:t xml:space="preserve">1.2. </w:t>
          </w:r>
          <w:r>
            <w:rPr>
              <w:rFonts w:hint="eastAsia"/>
            </w:rPr>
            <w:t>人员规划目标</w:t>
          </w:r>
          <w:r>
            <w:tab/>
          </w:r>
          <w:r>
            <w:fldChar w:fldCharType="begin"/>
          </w:r>
          <w:r>
            <w:instrText xml:space="preserve"> PAGEREF _Toc28310 \h </w:instrText>
          </w:r>
          <w:r>
            <w:fldChar w:fldCharType="separate"/>
          </w:r>
          <w:r>
            <w:t>4</w:t>
          </w:r>
          <w:r>
            <w:fldChar w:fldCharType="end"/>
          </w:r>
          <w:r>
            <w:rPr>
              <w:rFonts w:hint="eastAsia" w:ascii="宋体" w:hAnsi="宋体" w:eastAsia="宋体" w:cs="宋体"/>
              <w:szCs w:val="24"/>
            </w:rPr>
            <w:fldChar w:fldCharType="end"/>
          </w:r>
        </w:p>
        <w:p w14:paraId="0BDC59A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_Toc30708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人员管理计划</w:t>
          </w:r>
          <w:r>
            <w:tab/>
          </w:r>
          <w:r>
            <w:fldChar w:fldCharType="begin"/>
          </w:r>
          <w:r>
            <w:instrText xml:space="preserve"> PAGEREF _Toc30708 \h </w:instrText>
          </w:r>
          <w:r>
            <w:fldChar w:fldCharType="separate"/>
          </w:r>
          <w:r>
            <w:t>4</w:t>
          </w:r>
          <w:r>
            <w:fldChar w:fldCharType="end"/>
          </w:r>
          <w:r>
            <w:rPr>
              <w:rFonts w:hint="eastAsia" w:ascii="宋体" w:hAnsi="宋体" w:eastAsia="宋体" w:cs="宋体"/>
              <w:szCs w:val="24"/>
            </w:rPr>
            <w:fldChar w:fldCharType="end"/>
          </w:r>
        </w:p>
        <w:p w14:paraId="78DE6D0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_Toc29381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人员招聘管理计划</w:t>
          </w:r>
          <w:r>
            <w:tab/>
          </w:r>
          <w:r>
            <w:fldChar w:fldCharType="begin"/>
          </w:r>
          <w:r>
            <w:instrText xml:space="preserve"> PAGEREF _Toc29381 \h </w:instrText>
          </w:r>
          <w:r>
            <w:fldChar w:fldCharType="separate"/>
          </w:r>
          <w:r>
            <w:t>4</w:t>
          </w:r>
          <w:r>
            <w:fldChar w:fldCharType="end"/>
          </w:r>
          <w:r>
            <w:rPr>
              <w:rFonts w:hint="eastAsia" w:ascii="宋体" w:hAnsi="宋体" w:eastAsia="宋体" w:cs="宋体"/>
              <w:szCs w:val="24"/>
            </w:rPr>
            <w:fldChar w:fldCharType="end"/>
          </w:r>
        </w:p>
        <w:p w14:paraId="6A1C469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_Toc3268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目的</w:t>
          </w:r>
          <w:r>
            <w:tab/>
          </w:r>
          <w:r>
            <w:fldChar w:fldCharType="begin"/>
          </w:r>
          <w:r>
            <w:instrText xml:space="preserve"> PAGEREF _Toc3268 \h </w:instrText>
          </w:r>
          <w:r>
            <w:fldChar w:fldCharType="separate"/>
          </w:r>
          <w:r>
            <w:t>4</w:t>
          </w:r>
          <w:r>
            <w:fldChar w:fldCharType="end"/>
          </w:r>
          <w:r>
            <w:rPr>
              <w:rFonts w:hint="eastAsia" w:ascii="宋体" w:hAnsi="宋体" w:eastAsia="宋体" w:cs="宋体"/>
              <w:szCs w:val="24"/>
            </w:rPr>
            <w:fldChar w:fldCharType="end"/>
          </w:r>
        </w:p>
        <w:p w14:paraId="0D8950D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_Toc29153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实际内容</w:t>
          </w:r>
          <w:r>
            <w:tab/>
          </w:r>
          <w:r>
            <w:fldChar w:fldCharType="begin"/>
          </w:r>
          <w:r>
            <w:instrText xml:space="preserve"> PAGEREF _Toc29153 \h </w:instrText>
          </w:r>
          <w:r>
            <w:fldChar w:fldCharType="separate"/>
          </w:r>
          <w:r>
            <w:t>5</w:t>
          </w:r>
          <w:r>
            <w:fldChar w:fldCharType="end"/>
          </w:r>
          <w:r>
            <w:rPr>
              <w:rFonts w:hint="eastAsia" w:ascii="宋体" w:hAnsi="宋体" w:eastAsia="宋体" w:cs="宋体"/>
              <w:szCs w:val="24"/>
            </w:rPr>
            <w:fldChar w:fldCharType="end"/>
          </w:r>
        </w:p>
        <w:p w14:paraId="14CB75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_Toc29164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人员储备管理计划</w:t>
          </w:r>
          <w:r>
            <w:tab/>
          </w:r>
          <w:r>
            <w:fldChar w:fldCharType="begin"/>
          </w:r>
          <w:r>
            <w:instrText xml:space="preserve"> PAGEREF _Toc29164 \h </w:instrText>
          </w:r>
          <w:r>
            <w:fldChar w:fldCharType="separate"/>
          </w:r>
          <w:r>
            <w:t>5</w:t>
          </w:r>
          <w:r>
            <w:fldChar w:fldCharType="end"/>
          </w:r>
          <w:r>
            <w:rPr>
              <w:rFonts w:hint="eastAsia" w:ascii="宋体" w:hAnsi="宋体" w:eastAsia="宋体" w:cs="宋体"/>
              <w:szCs w:val="24"/>
            </w:rPr>
            <w:fldChar w:fldCharType="end"/>
          </w:r>
        </w:p>
        <w:p w14:paraId="1793E4C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_Toc18840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目的</w:t>
          </w:r>
          <w:r>
            <w:tab/>
          </w:r>
          <w:r>
            <w:fldChar w:fldCharType="begin"/>
          </w:r>
          <w:r>
            <w:instrText xml:space="preserve"> PAGEREF _Toc18840 \h </w:instrText>
          </w:r>
          <w:r>
            <w:fldChar w:fldCharType="separate"/>
          </w:r>
          <w:r>
            <w:t>5</w:t>
          </w:r>
          <w:r>
            <w:fldChar w:fldCharType="end"/>
          </w:r>
          <w:r>
            <w:rPr>
              <w:rFonts w:hint="eastAsia" w:ascii="宋体" w:hAnsi="宋体" w:eastAsia="宋体" w:cs="宋体"/>
              <w:szCs w:val="24"/>
            </w:rPr>
            <w:fldChar w:fldCharType="end"/>
          </w:r>
        </w:p>
        <w:p w14:paraId="3B8B170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_Toc18778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实际内容</w:t>
          </w:r>
          <w:r>
            <w:tab/>
          </w:r>
          <w:r>
            <w:fldChar w:fldCharType="begin"/>
          </w:r>
          <w:r>
            <w:instrText xml:space="preserve"> PAGEREF _Toc18778 \h </w:instrText>
          </w:r>
          <w:r>
            <w:fldChar w:fldCharType="separate"/>
          </w:r>
          <w:r>
            <w:t>5</w:t>
          </w:r>
          <w:r>
            <w:fldChar w:fldCharType="end"/>
          </w:r>
          <w:r>
            <w:rPr>
              <w:rFonts w:hint="eastAsia" w:ascii="宋体" w:hAnsi="宋体" w:eastAsia="宋体" w:cs="宋体"/>
              <w:szCs w:val="24"/>
            </w:rPr>
            <w:fldChar w:fldCharType="end"/>
          </w:r>
        </w:p>
        <w:p w14:paraId="175971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_Toc19250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人员培训管理计划</w:t>
          </w:r>
          <w:r>
            <w:tab/>
          </w:r>
          <w:r>
            <w:fldChar w:fldCharType="begin"/>
          </w:r>
          <w:r>
            <w:instrText xml:space="preserve"> PAGEREF _Toc19250 \h </w:instrText>
          </w:r>
          <w:r>
            <w:fldChar w:fldCharType="separate"/>
          </w:r>
          <w:r>
            <w:t>6</w:t>
          </w:r>
          <w:r>
            <w:fldChar w:fldCharType="end"/>
          </w:r>
          <w:r>
            <w:rPr>
              <w:rFonts w:hint="eastAsia" w:ascii="宋体" w:hAnsi="宋体" w:eastAsia="宋体" w:cs="宋体"/>
              <w:szCs w:val="24"/>
            </w:rPr>
            <w:fldChar w:fldCharType="end"/>
          </w:r>
        </w:p>
        <w:p w14:paraId="394ECC2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_Toc16901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目的</w:t>
          </w:r>
          <w:r>
            <w:tab/>
          </w:r>
          <w:r>
            <w:fldChar w:fldCharType="begin"/>
          </w:r>
          <w:r>
            <w:instrText xml:space="preserve"> PAGEREF _Toc16901 \h </w:instrText>
          </w:r>
          <w:r>
            <w:fldChar w:fldCharType="separate"/>
          </w:r>
          <w:r>
            <w:t>6</w:t>
          </w:r>
          <w:r>
            <w:fldChar w:fldCharType="end"/>
          </w:r>
          <w:r>
            <w:rPr>
              <w:rFonts w:hint="eastAsia" w:ascii="宋体" w:hAnsi="宋体" w:eastAsia="宋体" w:cs="宋体"/>
              <w:szCs w:val="24"/>
            </w:rPr>
            <w:fldChar w:fldCharType="end"/>
          </w:r>
        </w:p>
        <w:p w14:paraId="1D499ED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_Toc10601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实际内容</w:t>
          </w:r>
          <w:r>
            <w:tab/>
          </w:r>
          <w:r>
            <w:fldChar w:fldCharType="begin"/>
          </w:r>
          <w:r>
            <w:instrText xml:space="preserve"> PAGEREF _Toc10601 \h </w:instrText>
          </w:r>
          <w:r>
            <w:fldChar w:fldCharType="separate"/>
          </w:r>
          <w:r>
            <w:t>6</w:t>
          </w:r>
          <w:r>
            <w:fldChar w:fldCharType="end"/>
          </w:r>
          <w:r>
            <w:rPr>
              <w:rFonts w:hint="eastAsia" w:ascii="宋体" w:hAnsi="宋体" w:eastAsia="宋体" w:cs="宋体"/>
              <w:szCs w:val="24"/>
            </w:rPr>
            <w:fldChar w:fldCharType="end"/>
          </w:r>
        </w:p>
        <w:p w14:paraId="40915F1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_Toc3286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人员绩效考核管理计划</w:t>
          </w:r>
          <w:r>
            <w:tab/>
          </w:r>
          <w:r>
            <w:fldChar w:fldCharType="begin"/>
          </w:r>
          <w:r>
            <w:instrText xml:space="preserve"> PAGEREF _Toc3286 \h </w:instrText>
          </w:r>
          <w:r>
            <w:fldChar w:fldCharType="separate"/>
          </w:r>
          <w:r>
            <w:t>7</w:t>
          </w:r>
          <w:r>
            <w:fldChar w:fldCharType="end"/>
          </w:r>
          <w:r>
            <w:rPr>
              <w:rFonts w:hint="eastAsia" w:ascii="宋体" w:hAnsi="宋体" w:eastAsia="宋体" w:cs="宋体"/>
              <w:szCs w:val="24"/>
            </w:rPr>
            <w:fldChar w:fldCharType="end"/>
          </w:r>
        </w:p>
        <w:p w14:paraId="28AB625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_Toc24120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目的</w:t>
          </w:r>
          <w:r>
            <w:tab/>
          </w:r>
          <w:r>
            <w:fldChar w:fldCharType="begin"/>
          </w:r>
          <w:r>
            <w:instrText xml:space="preserve"> PAGEREF _Toc24120 \h </w:instrText>
          </w:r>
          <w:r>
            <w:fldChar w:fldCharType="separate"/>
          </w:r>
          <w:r>
            <w:t>7</w:t>
          </w:r>
          <w:r>
            <w:fldChar w:fldCharType="end"/>
          </w:r>
          <w:r>
            <w:rPr>
              <w:rFonts w:hint="eastAsia" w:ascii="宋体" w:hAnsi="宋体" w:eastAsia="宋体" w:cs="宋体"/>
              <w:szCs w:val="24"/>
            </w:rPr>
            <w:fldChar w:fldCharType="end"/>
          </w:r>
        </w:p>
        <w:p w14:paraId="162D8AD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_Toc24003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实际内容</w:t>
          </w:r>
          <w:r>
            <w:tab/>
          </w:r>
          <w:r>
            <w:fldChar w:fldCharType="begin"/>
          </w:r>
          <w:r>
            <w:instrText xml:space="preserve"> PAGEREF _Toc24003 \h </w:instrText>
          </w:r>
          <w:r>
            <w:fldChar w:fldCharType="separate"/>
          </w:r>
          <w:r>
            <w:t>8</w:t>
          </w:r>
          <w:r>
            <w:fldChar w:fldCharType="end"/>
          </w:r>
          <w:r>
            <w:rPr>
              <w:rFonts w:hint="eastAsia" w:ascii="宋体" w:hAnsi="宋体" w:eastAsia="宋体" w:cs="宋体"/>
              <w:szCs w:val="24"/>
            </w:rPr>
            <w:fldChar w:fldCharType="end"/>
          </w:r>
        </w:p>
        <w:p w14:paraId="253178F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_Toc4092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人员技能评定管理计划</w:t>
          </w:r>
          <w:r>
            <w:tab/>
          </w:r>
          <w:r>
            <w:fldChar w:fldCharType="begin"/>
          </w:r>
          <w:r>
            <w:instrText xml:space="preserve"> PAGEREF _Toc4092 \h </w:instrText>
          </w:r>
          <w:r>
            <w:fldChar w:fldCharType="separate"/>
          </w:r>
          <w:r>
            <w:t>8</w:t>
          </w:r>
          <w:r>
            <w:fldChar w:fldCharType="end"/>
          </w:r>
          <w:r>
            <w:rPr>
              <w:rFonts w:hint="eastAsia" w:ascii="宋体" w:hAnsi="宋体" w:eastAsia="宋体" w:cs="宋体"/>
              <w:szCs w:val="24"/>
            </w:rPr>
            <w:fldChar w:fldCharType="end"/>
          </w:r>
        </w:p>
        <w:p w14:paraId="164B82D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_Toc758 </w:instrText>
          </w:r>
          <w:r>
            <w:rPr>
              <w:rFonts w:hint="eastAsia" w:ascii="宋体" w:hAnsi="宋体" w:eastAsia="宋体" w:cs="宋体"/>
              <w:szCs w:val="24"/>
            </w:rPr>
            <w:fldChar w:fldCharType="separate"/>
          </w:r>
          <w:r>
            <w:rPr>
              <w:rFonts w:hint="default"/>
              <w:lang w:val="en-US" w:eastAsia="zh-CN"/>
            </w:rPr>
            <w:t xml:space="preserve">2.5.1. </w:t>
          </w:r>
          <w:r>
            <w:rPr>
              <w:rFonts w:hint="eastAsia"/>
              <w:lang w:val="en-US" w:eastAsia="zh-CN"/>
            </w:rPr>
            <w:t>目的</w:t>
          </w:r>
          <w:r>
            <w:tab/>
          </w:r>
          <w:r>
            <w:fldChar w:fldCharType="begin"/>
          </w:r>
          <w:r>
            <w:instrText xml:space="preserve"> PAGEREF _Toc758 \h </w:instrText>
          </w:r>
          <w:r>
            <w:fldChar w:fldCharType="separate"/>
          </w:r>
          <w:r>
            <w:t>8</w:t>
          </w:r>
          <w:r>
            <w:fldChar w:fldCharType="end"/>
          </w:r>
          <w:r>
            <w:rPr>
              <w:rFonts w:hint="eastAsia" w:ascii="宋体" w:hAnsi="宋体" w:eastAsia="宋体" w:cs="宋体"/>
              <w:szCs w:val="24"/>
            </w:rPr>
            <w:fldChar w:fldCharType="end"/>
          </w:r>
        </w:p>
        <w:p w14:paraId="14D819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_Toc30858 </w:instrText>
          </w:r>
          <w:r>
            <w:rPr>
              <w:rFonts w:hint="eastAsia" w:ascii="宋体" w:hAnsi="宋体" w:eastAsia="宋体" w:cs="宋体"/>
              <w:szCs w:val="24"/>
            </w:rPr>
            <w:fldChar w:fldCharType="separate"/>
          </w:r>
          <w:r>
            <w:rPr>
              <w:rFonts w:hint="default"/>
              <w:lang w:val="en-US" w:eastAsia="zh-CN"/>
            </w:rPr>
            <w:t xml:space="preserve">2.5.2. </w:t>
          </w:r>
          <w:r>
            <w:rPr>
              <w:rFonts w:hint="eastAsia"/>
              <w:lang w:val="en-US" w:eastAsia="zh-CN"/>
            </w:rPr>
            <w:t>实际内容</w:t>
          </w:r>
          <w:r>
            <w:tab/>
          </w:r>
          <w:r>
            <w:fldChar w:fldCharType="begin"/>
          </w:r>
          <w:r>
            <w:instrText xml:space="preserve"> PAGEREF _Toc30858 \h </w:instrText>
          </w:r>
          <w:r>
            <w:fldChar w:fldCharType="separate"/>
          </w:r>
          <w:r>
            <w:t>8</w:t>
          </w:r>
          <w:r>
            <w:fldChar w:fldCharType="end"/>
          </w:r>
          <w:r>
            <w:rPr>
              <w:rFonts w:hint="eastAsia" w:ascii="宋体" w:hAnsi="宋体" w:eastAsia="宋体" w:cs="宋体"/>
              <w:szCs w:val="24"/>
            </w:rPr>
            <w:fldChar w:fldCharType="end"/>
          </w:r>
        </w:p>
        <w:p w14:paraId="41AB0CB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_Toc10739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人员备份管理计划</w:t>
          </w:r>
          <w:r>
            <w:tab/>
          </w:r>
          <w:r>
            <w:fldChar w:fldCharType="begin"/>
          </w:r>
          <w:r>
            <w:instrText xml:space="preserve"> PAGEREF _Toc10739 \h </w:instrText>
          </w:r>
          <w:r>
            <w:fldChar w:fldCharType="separate"/>
          </w:r>
          <w:r>
            <w:t>8</w:t>
          </w:r>
          <w:r>
            <w:fldChar w:fldCharType="end"/>
          </w:r>
          <w:r>
            <w:rPr>
              <w:rFonts w:hint="eastAsia" w:ascii="宋体" w:hAnsi="宋体" w:eastAsia="宋体" w:cs="宋体"/>
              <w:szCs w:val="24"/>
            </w:rPr>
            <w:fldChar w:fldCharType="end"/>
          </w:r>
        </w:p>
        <w:p w14:paraId="6D44C81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_Toc9785 </w:instrText>
          </w:r>
          <w:r>
            <w:rPr>
              <w:rFonts w:hint="eastAsia" w:ascii="宋体" w:hAnsi="宋体" w:eastAsia="宋体" w:cs="宋体"/>
              <w:szCs w:val="24"/>
            </w:rPr>
            <w:fldChar w:fldCharType="separate"/>
          </w:r>
          <w:r>
            <w:rPr>
              <w:rFonts w:hint="default"/>
              <w:lang w:val="en-US" w:eastAsia="zh-CN"/>
            </w:rPr>
            <w:t xml:space="preserve">2.6.1. </w:t>
          </w:r>
          <w:r>
            <w:rPr>
              <w:rFonts w:hint="eastAsia"/>
              <w:lang w:val="en-US" w:eastAsia="zh-CN"/>
            </w:rPr>
            <w:t>目的</w:t>
          </w:r>
          <w:r>
            <w:tab/>
          </w:r>
          <w:r>
            <w:fldChar w:fldCharType="begin"/>
          </w:r>
          <w:r>
            <w:instrText xml:space="preserve"> PAGEREF _Toc9785 \h </w:instrText>
          </w:r>
          <w:r>
            <w:fldChar w:fldCharType="separate"/>
          </w:r>
          <w:r>
            <w:t>8</w:t>
          </w:r>
          <w:r>
            <w:fldChar w:fldCharType="end"/>
          </w:r>
          <w:r>
            <w:rPr>
              <w:rFonts w:hint="eastAsia" w:ascii="宋体" w:hAnsi="宋体" w:eastAsia="宋体" w:cs="宋体"/>
              <w:szCs w:val="24"/>
            </w:rPr>
            <w:fldChar w:fldCharType="end"/>
          </w:r>
        </w:p>
        <w:p w14:paraId="567B889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_Toc27413 </w:instrText>
          </w:r>
          <w:r>
            <w:rPr>
              <w:rFonts w:hint="eastAsia" w:ascii="宋体" w:hAnsi="宋体" w:eastAsia="宋体" w:cs="宋体"/>
              <w:szCs w:val="24"/>
            </w:rPr>
            <w:fldChar w:fldCharType="separate"/>
          </w:r>
          <w:r>
            <w:rPr>
              <w:rFonts w:hint="default"/>
              <w:lang w:val="en-US" w:eastAsia="zh-CN"/>
            </w:rPr>
            <w:t xml:space="preserve">2.6.2. </w:t>
          </w:r>
          <w:r>
            <w:rPr>
              <w:rFonts w:hint="eastAsia"/>
              <w:lang w:val="en-US" w:eastAsia="zh-CN"/>
            </w:rPr>
            <w:t>实际内容</w:t>
          </w:r>
          <w:r>
            <w:tab/>
          </w:r>
          <w:r>
            <w:fldChar w:fldCharType="begin"/>
          </w:r>
          <w:r>
            <w:instrText xml:space="preserve"> PAGEREF _Toc27413 \h </w:instrText>
          </w:r>
          <w:r>
            <w:fldChar w:fldCharType="separate"/>
          </w:r>
          <w:r>
            <w:t>8</w:t>
          </w:r>
          <w:r>
            <w:fldChar w:fldCharType="end"/>
          </w:r>
          <w:r>
            <w:rPr>
              <w:rFonts w:hint="eastAsia" w:ascii="宋体" w:hAnsi="宋体" w:eastAsia="宋体" w:cs="宋体"/>
              <w:szCs w:val="24"/>
            </w:rPr>
            <w:fldChar w:fldCharType="end"/>
          </w:r>
        </w:p>
        <w:p w14:paraId="7C690D6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_Toc28137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附件</w:t>
          </w:r>
          <w:r>
            <w:tab/>
          </w:r>
          <w:r>
            <w:fldChar w:fldCharType="begin"/>
          </w:r>
          <w:r>
            <w:instrText xml:space="preserve"> PAGEREF _Toc28137 \h </w:instrText>
          </w:r>
          <w:r>
            <w:fldChar w:fldCharType="separate"/>
          </w:r>
          <w:r>
            <w:t>9</w:t>
          </w:r>
          <w:r>
            <w:fldChar w:fldCharType="end"/>
          </w:r>
          <w:r>
            <w:rPr>
              <w:rFonts w:hint="eastAsia" w:ascii="宋体" w:hAnsi="宋体" w:eastAsia="宋体" w:cs="宋体"/>
              <w:szCs w:val="24"/>
            </w:rPr>
            <w:fldChar w:fldCharType="end"/>
          </w:r>
        </w:p>
        <w:p w14:paraId="793AC5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_Toc13794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记录</w:t>
          </w:r>
          <w:r>
            <w:tab/>
          </w:r>
          <w:r>
            <w:fldChar w:fldCharType="begin"/>
          </w:r>
          <w:r>
            <w:instrText xml:space="preserve"> PAGEREF _Toc13794 \h </w:instrText>
          </w:r>
          <w:r>
            <w:fldChar w:fldCharType="separate"/>
          </w:r>
          <w:r>
            <w:t>9</w:t>
          </w:r>
          <w:r>
            <w:fldChar w:fldCharType="end"/>
          </w:r>
          <w:r>
            <w:rPr>
              <w:rFonts w:hint="eastAsia" w:ascii="宋体" w:hAnsi="宋体" w:eastAsia="宋体" w:cs="宋体"/>
              <w:szCs w:val="24"/>
            </w:rPr>
            <w:fldChar w:fldCharType="end"/>
          </w:r>
        </w:p>
        <w:p w14:paraId="7A6DB02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BB4178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BE58DFB">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28454"/>
      <w:r>
        <w:rPr>
          <w:rFonts w:hint="eastAsia"/>
          <w:lang w:val="en-US" w:eastAsia="zh-CN"/>
        </w:rPr>
        <w:t>公司现状与规划</w:t>
      </w:r>
      <w:bookmarkEnd w:id="2"/>
    </w:p>
    <w:p w14:paraId="3ECACE9C">
      <w:pPr>
        <w:pStyle w:val="30"/>
        <w:bidi w:val="0"/>
        <w:rPr>
          <w:rFonts w:hint="eastAsia"/>
        </w:rPr>
      </w:pPr>
      <w:bookmarkStart w:id="3" w:name="_Toc22624"/>
      <w:r>
        <w:rPr>
          <w:rFonts w:hint="eastAsia"/>
        </w:rPr>
        <w:t>公司现状</w:t>
      </w:r>
      <w:bookmarkEnd w:id="3"/>
    </w:p>
    <w:p w14:paraId="63BC0288">
      <w:pPr>
        <w:pStyle w:val="29"/>
        <w:bidi w:val="0"/>
        <w:rPr>
          <w:rFonts w:hint="default"/>
          <w:lang w:val="en-US" w:eastAsia="zh-CN"/>
        </w:rPr>
      </w:pPr>
      <w:r>
        <w:rPr>
          <w:rFonts w:hint="default"/>
          <w:lang w:val="en-US" w:eastAsia="zh-CN"/>
        </w:rPr>
        <w:t>江西通信产业服务有限公司成立于2020年2月，是由晋城市大数据应用局牵头组建、市国投公司全资成立的一家专注于智慧城市建设和数字经济发展的国有高新技术企业。</w:t>
      </w:r>
    </w:p>
    <w:p w14:paraId="6EFD5D5B">
      <w:pPr>
        <w:pStyle w:val="29"/>
        <w:bidi w:val="0"/>
        <w:rPr>
          <w:rFonts w:hint="default"/>
          <w:lang w:val="en-US" w:eastAsia="zh-CN"/>
        </w:rPr>
      </w:pPr>
      <w:r>
        <w:rPr>
          <w:rFonts w:hint="default"/>
          <w:lang w:val="en-US" w:eastAsia="zh-CN"/>
        </w:rPr>
        <w:t>在国家数字经济的宏观政策背景下，市场需求持续增加，数字政府、数字社会等大数据行业整体发展迅速；围绕政务服务优化、数字</w:t>
      </w:r>
      <w:r>
        <w:rPr>
          <w:rFonts w:hint="eastAsia"/>
          <w:lang w:val="en-US"/>
        </w:rPr>
        <w:t>经济</w:t>
      </w:r>
      <w:r>
        <w:rPr>
          <w:rFonts w:hint="default"/>
          <w:lang w:val="en-US" w:eastAsia="zh-CN"/>
        </w:rPr>
        <w:t>优化、基层社会治理等细分领域发展。目前，</w:t>
      </w:r>
      <w:r>
        <w:rPr>
          <w:rFonts w:hint="eastAsia"/>
          <w:lang w:val="en-US" w:eastAsia="zh-CN"/>
        </w:rPr>
        <w:t>公司人员体系</w:t>
      </w:r>
      <w:r>
        <w:rPr>
          <w:rFonts w:hint="eastAsia"/>
          <w:lang w:val="en-US"/>
        </w:rPr>
        <w:t>较</w:t>
      </w:r>
      <w:r>
        <w:rPr>
          <w:rFonts w:hint="eastAsia"/>
          <w:lang w:val="en-US" w:eastAsia="zh-CN"/>
        </w:rPr>
        <w:t>完备</w:t>
      </w:r>
      <w:r>
        <w:rPr>
          <w:rFonts w:hint="default"/>
          <w:lang w:val="en-US" w:eastAsia="zh-CN"/>
        </w:rPr>
        <w:t>，</w:t>
      </w:r>
      <w:r>
        <w:rPr>
          <w:rFonts w:hint="eastAsia"/>
          <w:lang w:val="en-US" w:eastAsia="zh-CN"/>
        </w:rPr>
        <w:t>在职人员45人，其中运维相关人员31人。本科以上占比超过了</w:t>
      </w:r>
      <w:r>
        <w:rPr>
          <w:rFonts w:hint="default"/>
          <w:lang w:val="en-US" w:eastAsia="zh-CN"/>
        </w:rPr>
        <w:t>90</w:t>
      </w:r>
      <w:r>
        <w:rPr>
          <w:rFonts w:hint="eastAsia"/>
          <w:lang w:val="en-US" w:eastAsia="zh-CN"/>
        </w:rPr>
        <w:t>%，研发技术人员达85%，其中60%以上为一线城市返晋研发人员，人才驱动</w:t>
      </w:r>
      <w:r>
        <w:rPr>
          <w:rFonts w:hint="eastAsia"/>
          <w:lang w:val="en-US"/>
        </w:rPr>
        <w:t>下公司</w:t>
      </w:r>
      <w:r>
        <w:rPr>
          <w:rFonts w:hint="eastAsia"/>
          <w:lang w:val="en-US" w:eastAsia="zh-CN"/>
        </w:rPr>
        <w:t>自主</w:t>
      </w:r>
      <w:r>
        <w:rPr>
          <w:rFonts w:hint="eastAsia"/>
          <w:lang w:val="en-US"/>
        </w:rPr>
        <w:t>创新</w:t>
      </w:r>
      <w:r>
        <w:rPr>
          <w:rFonts w:hint="eastAsia"/>
          <w:lang w:val="en-US" w:eastAsia="zh-CN"/>
        </w:rPr>
        <w:t>研发能力强，专业提供“信息系统集成开发、云平台建设运维、电子政务网络规划维护、数据汇聚治理、政务新媒体服务”五大业务板块服务</w:t>
      </w:r>
      <w:r>
        <w:rPr>
          <w:rFonts w:hint="default"/>
          <w:lang w:eastAsia="zh-CN"/>
        </w:rPr>
        <w:t>。</w:t>
      </w:r>
    </w:p>
    <w:p w14:paraId="77F52C6B">
      <w:pPr>
        <w:pStyle w:val="29"/>
        <w:rPr>
          <w:rFonts w:hint="eastAsia"/>
        </w:rPr>
      </w:pPr>
      <w:r>
        <w:rPr>
          <w:rFonts w:hint="eastAsia"/>
          <w:lang w:val="en-US" w:eastAsia="zh-CN"/>
        </w:rPr>
        <w:t>随着业务规模的扩大，</w:t>
      </w:r>
      <w:r>
        <w:rPr>
          <w:rFonts w:hint="eastAsia"/>
        </w:rPr>
        <w:t>团队精干但难以支撑新业务线的全面展开，在运维服务、产品研发及专业化质量管理方面的能力亟待加强。</w:t>
      </w:r>
    </w:p>
    <w:p w14:paraId="79EAB4AC">
      <w:pPr>
        <w:pStyle w:val="30"/>
        <w:bidi w:val="0"/>
        <w:rPr>
          <w:rFonts w:hint="eastAsia"/>
        </w:rPr>
      </w:pPr>
      <w:bookmarkStart w:id="4" w:name="_Toc28310"/>
      <w:r>
        <w:rPr>
          <w:rFonts w:hint="eastAsia"/>
        </w:rPr>
        <w:t>人员规划目标</w:t>
      </w:r>
      <w:bookmarkEnd w:id="4"/>
    </w:p>
    <w:p w14:paraId="07A8CD3A">
      <w:pPr>
        <w:pStyle w:val="29"/>
        <w:rPr>
          <w:rFonts w:hint="eastAsia"/>
        </w:rPr>
      </w:pPr>
      <w:r>
        <w:rPr>
          <w:rFonts w:hint="eastAsia"/>
        </w:rPr>
        <w:t>人员管理计划的核心目标是 “稳健扩容，赋能转型” 。计划将团队总规模从</w:t>
      </w:r>
      <w:r>
        <w:rPr>
          <w:rFonts w:hint="eastAsia"/>
          <w:lang w:val="en-US" w:eastAsia="zh-CN"/>
        </w:rPr>
        <w:t>31</w:t>
      </w:r>
      <w:r>
        <w:rPr>
          <w:rFonts w:hint="eastAsia"/>
        </w:rPr>
        <w:t>人扩充至</w:t>
      </w:r>
      <w:r>
        <w:rPr>
          <w:rFonts w:hint="eastAsia"/>
          <w:lang w:val="en-US" w:eastAsia="zh-CN"/>
        </w:rPr>
        <w:t>37</w:t>
      </w:r>
      <w:r>
        <w:rPr>
          <w:rFonts w:hint="eastAsia"/>
        </w:rPr>
        <w:t>人，在控制成本的同时，精准补充关键岗位人才，初步形成运维服务业务的交付与研发能力，并建立现代化的人力资源管理流程，为公司战略转型奠定坚实的人才基础。</w:t>
      </w:r>
    </w:p>
    <w:p w14:paraId="37055BB4">
      <w:pPr>
        <w:pStyle w:val="28"/>
        <w:bidi w:val="0"/>
        <w:rPr>
          <w:rFonts w:hint="eastAsia"/>
          <w:lang w:val="en-US" w:eastAsia="zh-CN"/>
        </w:rPr>
      </w:pPr>
      <w:bookmarkStart w:id="5" w:name="_Toc30708"/>
      <w:r>
        <w:rPr>
          <w:rFonts w:hint="eastAsia"/>
          <w:lang w:val="en-US" w:eastAsia="zh-CN"/>
        </w:rPr>
        <w:t>人员管理计划</w:t>
      </w:r>
      <w:bookmarkEnd w:id="5"/>
    </w:p>
    <w:p w14:paraId="2835FD96">
      <w:pPr>
        <w:pStyle w:val="30"/>
        <w:bidi w:val="0"/>
        <w:rPr>
          <w:rFonts w:hint="eastAsia"/>
          <w:lang w:val="en-US" w:eastAsia="zh-CN"/>
        </w:rPr>
      </w:pPr>
      <w:bookmarkStart w:id="6" w:name="_Toc29381"/>
      <w:r>
        <w:rPr>
          <w:rFonts w:hint="eastAsia"/>
          <w:lang w:val="en-US" w:eastAsia="zh-CN"/>
        </w:rPr>
        <w:t>人员招聘管理计划</w:t>
      </w:r>
      <w:bookmarkEnd w:id="6"/>
    </w:p>
    <w:p w14:paraId="5FCA6BAE">
      <w:pPr>
        <w:pStyle w:val="31"/>
        <w:bidi w:val="0"/>
        <w:rPr>
          <w:rFonts w:hint="eastAsia"/>
          <w:lang w:val="en-US" w:eastAsia="zh-CN"/>
        </w:rPr>
      </w:pPr>
      <w:bookmarkStart w:id="7" w:name="_Toc3268"/>
      <w:r>
        <w:rPr>
          <w:rFonts w:hint="eastAsia"/>
          <w:lang w:val="en-US" w:eastAsia="zh-CN"/>
        </w:rPr>
        <w:t>目的</w:t>
      </w:r>
      <w:bookmarkEnd w:id="7"/>
    </w:p>
    <w:p w14:paraId="4EDCEC17">
      <w:pPr>
        <w:pStyle w:val="29"/>
        <w:rPr>
          <w:rFonts w:hint="eastAsia"/>
          <w:lang w:val="en-US" w:eastAsia="zh-CN"/>
        </w:rPr>
      </w:pPr>
      <w:r>
        <w:rPr>
          <w:rFonts w:hint="eastAsia"/>
          <w:lang w:val="en-US" w:eastAsia="zh-CN"/>
        </w:rPr>
        <w:t>为支撑公司向IT运维服务的战略转型，解决当前团队规模与能力不足的核心矛盾，本招聘计划旨在通过分季度、有重点地引入关键岗位人才，系统性构建公司的技术服务交付、产品研发与质量管理体系，确保人才供给与业务发展节奏精准匹配。</w:t>
      </w:r>
    </w:p>
    <w:p w14:paraId="0DB50815">
      <w:pPr>
        <w:pStyle w:val="31"/>
        <w:bidi w:val="0"/>
        <w:rPr>
          <w:rFonts w:hint="default"/>
          <w:lang w:val="en-US" w:eastAsia="zh-CN"/>
        </w:rPr>
      </w:pPr>
      <w:bookmarkStart w:id="8" w:name="_Toc29153"/>
      <w:r>
        <w:rPr>
          <w:rFonts w:hint="eastAsia"/>
          <w:lang w:val="en-US" w:eastAsia="zh-CN"/>
        </w:rPr>
        <w:t>实际内容</w:t>
      </w:r>
      <w:bookmarkEnd w:id="8"/>
    </w:p>
    <w:p w14:paraId="5344907C">
      <w:pPr>
        <w:pStyle w:val="29"/>
        <w:rPr>
          <w:rFonts w:hint="default"/>
          <w:lang w:val="en-US" w:eastAsia="zh-CN"/>
        </w:rPr>
      </w:pPr>
      <w:r>
        <w:rPr>
          <w:rFonts w:hint="eastAsia"/>
          <w:lang w:val="en-US" w:eastAsia="zh-CN"/>
        </w:rPr>
        <w:t>根据公司实际业务发展需要进行招聘。</w:t>
      </w:r>
    </w:p>
    <w:p w14:paraId="40EFF5FF">
      <w:pPr>
        <w:pStyle w:val="29"/>
        <w:rPr>
          <w:rFonts w:hint="eastAsia"/>
          <w:lang w:val="en-US" w:eastAsia="zh-CN"/>
        </w:rPr>
      </w:pPr>
      <w:r>
        <w:rPr>
          <w:rFonts w:hint="eastAsia"/>
          <w:lang w:val="en-US" w:eastAsia="zh-CN"/>
        </w:rPr>
        <w:t>招聘计划，如表2-1所示</w:t>
      </w:r>
    </w:p>
    <w:p w14:paraId="6B2A6582">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招聘计划表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4"/>
        <w:gridCol w:w="1954"/>
        <w:gridCol w:w="1704"/>
        <w:gridCol w:w="1705"/>
        <w:gridCol w:w="1705"/>
      </w:tblGrid>
      <w:tr w14:paraId="58ACA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666BD1C9">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季度</w:t>
            </w:r>
          </w:p>
        </w:tc>
        <w:tc>
          <w:tcPr>
            <w:tcW w:w="1954" w:type="dxa"/>
          </w:tcPr>
          <w:p w14:paraId="43D2E07E">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招聘岗位</w:t>
            </w:r>
          </w:p>
        </w:tc>
        <w:tc>
          <w:tcPr>
            <w:tcW w:w="1704" w:type="dxa"/>
          </w:tcPr>
          <w:p w14:paraId="63C261E2">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所属部门</w:t>
            </w:r>
          </w:p>
        </w:tc>
        <w:tc>
          <w:tcPr>
            <w:tcW w:w="1705" w:type="dxa"/>
          </w:tcPr>
          <w:p w14:paraId="49B81D81">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招聘人数</w:t>
            </w:r>
          </w:p>
        </w:tc>
        <w:tc>
          <w:tcPr>
            <w:tcW w:w="1705" w:type="dxa"/>
          </w:tcPr>
          <w:p w14:paraId="38E655FD">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计划完成时间</w:t>
            </w:r>
          </w:p>
        </w:tc>
      </w:tr>
      <w:tr w14:paraId="635DB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3841F086">
            <w:pPr>
              <w:pStyle w:val="29"/>
              <w:widowControl w:val="0"/>
              <w:ind w:left="0" w:leftChars="0" w:right="0" w:rightChars="0" w:firstLine="0" w:firstLineChars="0"/>
              <w:jc w:val="both"/>
              <w:rPr>
                <w:rFonts w:hint="eastAsia"/>
                <w:vertAlign w:val="baseline"/>
                <w:lang w:val="en-US" w:eastAsia="zh-CN"/>
              </w:rPr>
            </w:pPr>
            <w:r>
              <w:rPr>
                <w:rFonts w:hint="eastAsia"/>
                <w:vertAlign w:val="baseline"/>
                <w:lang w:val="en-US" w:eastAsia="zh-CN"/>
              </w:rPr>
              <w:t>2025年</w:t>
            </w:r>
          </w:p>
          <w:p w14:paraId="372ECEE1">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第一季度</w:t>
            </w:r>
          </w:p>
        </w:tc>
        <w:tc>
          <w:tcPr>
            <w:tcW w:w="1954" w:type="dxa"/>
          </w:tcPr>
          <w:p w14:paraId="2B29D9AF">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运维工程师</w:t>
            </w:r>
          </w:p>
        </w:tc>
        <w:tc>
          <w:tcPr>
            <w:tcW w:w="1704" w:type="dxa"/>
          </w:tcPr>
          <w:p w14:paraId="779BBC5E">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数智运营部</w:t>
            </w:r>
          </w:p>
        </w:tc>
        <w:tc>
          <w:tcPr>
            <w:tcW w:w="1705" w:type="dxa"/>
          </w:tcPr>
          <w:p w14:paraId="5BEBFE76">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2人</w:t>
            </w:r>
          </w:p>
        </w:tc>
        <w:tc>
          <w:tcPr>
            <w:tcW w:w="1705" w:type="dxa"/>
          </w:tcPr>
          <w:p w14:paraId="6BB15E63">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2025年3月</w:t>
            </w:r>
          </w:p>
        </w:tc>
      </w:tr>
      <w:tr w14:paraId="3CBE0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restart"/>
          </w:tcPr>
          <w:p w14:paraId="4755ED7D">
            <w:pPr>
              <w:pStyle w:val="29"/>
              <w:widowControl w:val="0"/>
              <w:ind w:left="0" w:leftChars="0" w:right="0" w:rightChars="0" w:firstLine="0" w:firstLineChars="0"/>
              <w:jc w:val="both"/>
              <w:rPr>
                <w:rFonts w:hint="eastAsia"/>
                <w:vertAlign w:val="baseline"/>
                <w:lang w:val="en-US" w:eastAsia="zh-CN"/>
              </w:rPr>
            </w:pPr>
            <w:r>
              <w:rPr>
                <w:rFonts w:hint="eastAsia"/>
                <w:vertAlign w:val="baseline"/>
                <w:lang w:val="en-US" w:eastAsia="zh-CN"/>
              </w:rPr>
              <w:t>2025年</w:t>
            </w:r>
          </w:p>
          <w:p w14:paraId="2543E4B4">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第二季度</w:t>
            </w:r>
          </w:p>
        </w:tc>
        <w:tc>
          <w:tcPr>
            <w:tcW w:w="1954" w:type="dxa"/>
          </w:tcPr>
          <w:p w14:paraId="13A8E638">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开发工程师</w:t>
            </w:r>
          </w:p>
        </w:tc>
        <w:tc>
          <w:tcPr>
            <w:tcW w:w="1704" w:type="dxa"/>
          </w:tcPr>
          <w:p w14:paraId="62EA622C">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研究总院</w:t>
            </w:r>
          </w:p>
        </w:tc>
        <w:tc>
          <w:tcPr>
            <w:tcW w:w="1705" w:type="dxa"/>
          </w:tcPr>
          <w:p w14:paraId="44E900FE">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1人</w:t>
            </w:r>
          </w:p>
        </w:tc>
        <w:tc>
          <w:tcPr>
            <w:tcW w:w="1705" w:type="dxa"/>
          </w:tcPr>
          <w:p w14:paraId="3BF2871A">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2025年4月</w:t>
            </w:r>
          </w:p>
        </w:tc>
      </w:tr>
      <w:tr w14:paraId="75F0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continue"/>
          </w:tcPr>
          <w:p w14:paraId="53ACE369">
            <w:pPr>
              <w:pStyle w:val="29"/>
              <w:widowControl w:val="0"/>
              <w:ind w:left="0" w:leftChars="0" w:right="0" w:rightChars="0" w:firstLine="0" w:firstLineChars="0"/>
              <w:jc w:val="both"/>
              <w:rPr>
                <w:rFonts w:hint="default"/>
                <w:vertAlign w:val="baseline"/>
                <w:lang w:val="en-US" w:eastAsia="zh-CN"/>
              </w:rPr>
            </w:pPr>
          </w:p>
        </w:tc>
        <w:tc>
          <w:tcPr>
            <w:tcW w:w="1954" w:type="dxa"/>
          </w:tcPr>
          <w:p w14:paraId="3206DDD3">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服务台专员</w:t>
            </w:r>
          </w:p>
        </w:tc>
        <w:tc>
          <w:tcPr>
            <w:tcW w:w="1704" w:type="dxa"/>
          </w:tcPr>
          <w:p w14:paraId="7EF33B85">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数智运营部</w:t>
            </w:r>
          </w:p>
        </w:tc>
        <w:tc>
          <w:tcPr>
            <w:tcW w:w="1705" w:type="dxa"/>
          </w:tcPr>
          <w:p w14:paraId="059F60A8">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1人</w:t>
            </w:r>
          </w:p>
        </w:tc>
        <w:tc>
          <w:tcPr>
            <w:tcW w:w="1705" w:type="dxa"/>
          </w:tcPr>
          <w:p w14:paraId="02291EE1">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2025年5月</w:t>
            </w:r>
          </w:p>
        </w:tc>
      </w:tr>
      <w:tr w14:paraId="768B5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restart"/>
          </w:tcPr>
          <w:p w14:paraId="1E819CCE">
            <w:pPr>
              <w:pStyle w:val="29"/>
              <w:widowControl w:val="0"/>
              <w:ind w:left="0" w:leftChars="0" w:right="0" w:rightChars="0" w:firstLine="0" w:firstLineChars="0"/>
              <w:jc w:val="both"/>
              <w:rPr>
                <w:rFonts w:hint="eastAsia"/>
                <w:vertAlign w:val="baseline"/>
                <w:lang w:val="en-US" w:eastAsia="zh-CN"/>
              </w:rPr>
            </w:pPr>
            <w:r>
              <w:rPr>
                <w:rFonts w:hint="eastAsia"/>
                <w:vertAlign w:val="baseline"/>
                <w:lang w:val="en-US" w:eastAsia="zh-CN"/>
              </w:rPr>
              <w:t>2025年</w:t>
            </w:r>
          </w:p>
          <w:p w14:paraId="560B39F0">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第三季度</w:t>
            </w:r>
          </w:p>
        </w:tc>
        <w:tc>
          <w:tcPr>
            <w:tcW w:w="1954" w:type="dxa"/>
          </w:tcPr>
          <w:p w14:paraId="0FF5522A">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运维工程师</w:t>
            </w:r>
          </w:p>
        </w:tc>
        <w:tc>
          <w:tcPr>
            <w:tcW w:w="1704" w:type="dxa"/>
          </w:tcPr>
          <w:p w14:paraId="5D34EE8F">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数智运营部</w:t>
            </w:r>
          </w:p>
        </w:tc>
        <w:tc>
          <w:tcPr>
            <w:tcW w:w="1705" w:type="dxa"/>
          </w:tcPr>
          <w:p w14:paraId="41397A6C">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1人</w:t>
            </w:r>
          </w:p>
        </w:tc>
        <w:tc>
          <w:tcPr>
            <w:tcW w:w="1705" w:type="dxa"/>
          </w:tcPr>
          <w:p w14:paraId="326DA1D5">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2025年8月</w:t>
            </w:r>
          </w:p>
        </w:tc>
      </w:tr>
      <w:tr w14:paraId="1065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vMerge w:val="continue"/>
          </w:tcPr>
          <w:p w14:paraId="4CC12691">
            <w:pPr>
              <w:pStyle w:val="29"/>
              <w:widowControl w:val="0"/>
              <w:ind w:left="0" w:leftChars="0" w:right="0" w:rightChars="0" w:firstLine="0" w:firstLineChars="0"/>
              <w:jc w:val="both"/>
              <w:rPr>
                <w:rFonts w:hint="default"/>
                <w:vertAlign w:val="baseline"/>
                <w:lang w:val="en-US" w:eastAsia="zh-CN"/>
              </w:rPr>
            </w:pPr>
          </w:p>
        </w:tc>
        <w:tc>
          <w:tcPr>
            <w:tcW w:w="1954" w:type="dxa"/>
          </w:tcPr>
          <w:p w14:paraId="20A0DA0F">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质量管理专员</w:t>
            </w:r>
          </w:p>
        </w:tc>
        <w:tc>
          <w:tcPr>
            <w:tcW w:w="1704" w:type="dxa"/>
          </w:tcPr>
          <w:p w14:paraId="20ECAEB6">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质量管理部</w:t>
            </w:r>
          </w:p>
        </w:tc>
        <w:tc>
          <w:tcPr>
            <w:tcW w:w="1705" w:type="dxa"/>
          </w:tcPr>
          <w:p w14:paraId="4DBF65EE">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1人</w:t>
            </w:r>
          </w:p>
        </w:tc>
        <w:tc>
          <w:tcPr>
            <w:tcW w:w="1705" w:type="dxa"/>
          </w:tcPr>
          <w:p w14:paraId="6DA04FBD">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2025年9月</w:t>
            </w:r>
          </w:p>
        </w:tc>
      </w:tr>
      <w:tr w14:paraId="5ED7E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4" w:type="dxa"/>
          </w:tcPr>
          <w:p w14:paraId="5B726309">
            <w:pPr>
              <w:pStyle w:val="29"/>
              <w:widowControl w:val="0"/>
              <w:ind w:left="0" w:leftChars="0" w:right="0" w:rightChars="0" w:firstLine="0" w:firstLineChars="0"/>
              <w:jc w:val="both"/>
              <w:rPr>
                <w:rFonts w:hint="eastAsia"/>
                <w:vertAlign w:val="baseline"/>
                <w:lang w:val="en-US" w:eastAsia="zh-CN"/>
              </w:rPr>
            </w:pPr>
            <w:r>
              <w:rPr>
                <w:rFonts w:hint="eastAsia"/>
                <w:vertAlign w:val="baseline"/>
                <w:lang w:val="en-US" w:eastAsia="zh-CN"/>
              </w:rPr>
              <w:t>2025年</w:t>
            </w:r>
          </w:p>
          <w:p w14:paraId="48AC103C">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第四季度</w:t>
            </w:r>
          </w:p>
        </w:tc>
        <w:tc>
          <w:tcPr>
            <w:tcW w:w="1954" w:type="dxa"/>
          </w:tcPr>
          <w:p w14:paraId="3FE05BD6">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w:t>
            </w:r>
          </w:p>
        </w:tc>
        <w:tc>
          <w:tcPr>
            <w:tcW w:w="1704" w:type="dxa"/>
          </w:tcPr>
          <w:p w14:paraId="71702055">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w:t>
            </w:r>
          </w:p>
        </w:tc>
        <w:tc>
          <w:tcPr>
            <w:tcW w:w="1705" w:type="dxa"/>
          </w:tcPr>
          <w:p w14:paraId="3ED30866">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w:t>
            </w:r>
          </w:p>
        </w:tc>
        <w:tc>
          <w:tcPr>
            <w:tcW w:w="1705" w:type="dxa"/>
          </w:tcPr>
          <w:p w14:paraId="7156DE8C">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w:t>
            </w:r>
          </w:p>
        </w:tc>
      </w:tr>
    </w:tbl>
    <w:p w14:paraId="4CF535CC">
      <w:pPr>
        <w:pStyle w:val="29"/>
        <w:ind w:left="0" w:leftChars="0" w:right="0" w:rightChars="0" w:firstLine="0" w:firstLineChars="0"/>
        <w:jc w:val="center"/>
        <w:rPr>
          <w:rFonts w:hint="default"/>
          <w:lang w:val="en-US" w:eastAsia="zh-CN"/>
        </w:rPr>
      </w:pPr>
    </w:p>
    <w:p w14:paraId="72F14A9B">
      <w:pPr>
        <w:pStyle w:val="30"/>
        <w:bidi w:val="0"/>
        <w:rPr>
          <w:rFonts w:hint="eastAsia"/>
          <w:lang w:val="en-US" w:eastAsia="zh-CN"/>
        </w:rPr>
      </w:pPr>
      <w:bookmarkStart w:id="9" w:name="_Toc29164"/>
      <w:r>
        <w:rPr>
          <w:rFonts w:hint="eastAsia"/>
          <w:lang w:val="en-US" w:eastAsia="zh-CN"/>
        </w:rPr>
        <w:t>人员储备管理计划</w:t>
      </w:r>
      <w:bookmarkEnd w:id="9"/>
    </w:p>
    <w:p w14:paraId="0A9B19C0">
      <w:pPr>
        <w:pStyle w:val="31"/>
        <w:bidi w:val="0"/>
        <w:rPr>
          <w:rFonts w:hint="eastAsia"/>
          <w:lang w:val="en-US" w:eastAsia="zh-CN"/>
        </w:rPr>
      </w:pPr>
      <w:bookmarkStart w:id="10" w:name="_Toc18840"/>
      <w:r>
        <w:rPr>
          <w:rFonts w:hint="eastAsia"/>
          <w:lang w:val="en-US" w:eastAsia="zh-CN"/>
        </w:rPr>
        <w:t>目的</w:t>
      </w:r>
      <w:bookmarkEnd w:id="10"/>
    </w:p>
    <w:p w14:paraId="18C46E52">
      <w:pPr>
        <w:pStyle w:val="29"/>
        <w:rPr>
          <w:rFonts w:hint="eastAsia"/>
          <w:lang w:val="en-US" w:eastAsia="zh-CN"/>
        </w:rPr>
      </w:pPr>
      <w:r>
        <w:rPr>
          <w:rFonts w:hint="eastAsia"/>
          <w:lang w:val="en-US" w:eastAsia="zh-CN"/>
        </w:rPr>
        <w:t>为降低关键岗位的人才流失风险，保障业务连续性与稳定性，并为企业长远发展提供可持续的领导力供给，本计划通过识别关键岗位、实施导师制与项目炼金等机制，系统性培养内部后备人才，建立公司的人才梯队。</w:t>
      </w:r>
    </w:p>
    <w:p w14:paraId="2CC4C5F4">
      <w:pPr>
        <w:pStyle w:val="31"/>
        <w:bidi w:val="0"/>
        <w:rPr>
          <w:rFonts w:hint="default"/>
          <w:lang w:val="en-US" w:eastAsia="zh-CN"/>
        </w:rPr>
      </w:pPr>
      <w:bookmarkStart w:id="11" w:name="_Toc18778"/>
      <w:r>
        <w:rPr>
          <w:rFonts w:hint="eastAsia"/>
          <w:lang w:val="en-US" w:eastAsia="zh-CN"/>
        </w:rPr>
        <w:t>实际内容</w:t>
      </w:r>
      <w:bookmarkEnd w:id="11"/>
    </w:p>
    <w:p w14:paraId="2F064109">
      <w:pPr>
        <w:pStyle w:val="29"/>
        <w:rPr>
          <w:rFonts w:hint="default"/>
          <w:lang w:val="en-US" w:eastAsia="zh-CN"/>
        </w:rPr>
      </w:pPr>
      <w:r>
        <w:rPr>
          <w:rFonts w:hint="eastAsia"/>
          <w:lang w:val="en-US" w:eastAsia="zh-CN"/>
        </w:rPr>
        <w:t>公司人员储备计划如表2-2所示</w:t>
      </w:r>
    </w:p>
    <w:p w14:paraId="0F4D35D9">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人员储备计划表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2"/>
        <w:gridCol w:w="1111"/>
        <w:gridCol w:w="1231"/>
        <w:gridCol w:w="3407"/>
        <w:gridCol w:w="920"/>
      </w:tblGrid>
      <w:tr w14:paraId="355B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2" w:type="dxa"/>
          </w:tcPr>
          <w:p w14:paraId="48588822">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储备目标岗位</w:t>
            </w:r>
          </w:p>
        </w:tc>
        <w:tc>
          <w:tcPr>
            <w:tcW w:w="1111" w:type="dxa"/>
          </w:tcPr>
          <w:p w14:paraId="75BB8F5B">
            <w:pPr>
              <w:pStyle w:val="29"/>
              <w:widowControl w:val="0"/>
              <w:ind w:left="0" w:leftChars="0" w:right="0" w:rightChars="0" w:firstLine="0" w:firstLineChars="0"/>
              <w:jc w:val="both"/>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储备人次</w:t>
            </w:r>
          </w:p>
        </w:tc>
        <w:tc>
          <w:tcPr>
            <w:tcW w:w="1231" w:type="dxa"/>
          </w:tcPr>
          <w:p w14:paraId="65EB163B">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储备人选来源</w:t>
            </w:r>
          </w:p>
        </w:tc>
        <w:tc>
          <w:tcPr>
            <w:tcW w:w="3407" w:type="dxa"/>
          </w:tcPr>
          <w:p w14:paraId="24F4BB6A">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核心培新措施</w:t>
            </w:r>
          </w:p>
        </w:tc>
        <w:tc>
          <w:tcPr>
            <w:tcW w:w="920" w:type="dxa"/>
          </w:tcPr>
          <w:p w14:paraId="381F9F26">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计划完成时间</w:t>
            </w:r>
          </w:p>
        </w:tc>
      </w:tr>
      <w:tr w14:paraId="65EDA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52" w:type="dxa"/>
          </w:tcPr>
          <w:p w14:paraId="5E2E3C82">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数智运营部经理</w:t>
            </w:r>
          </w:p>
        </w:tc>
        <w:tc>
          <w:tcPr>
            <w:tcW w:w="1111" w:type="dxa"/>
          </w:tcPr>
          <w:p w14:paraId="05253DCA">
            <w:pPr>
              <w:pStyle w:val="29"/>
              <w:widowControl w:val="0"/>
              <w:ind w:left="0" w:leftChars="0" w:right="0" w:rightChars="0" w:firstLine="0" w:firstLineChars="0"/>
              <w:jc w:val="both"/>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2人</w:t>
            </w:r>
          </w:p>
        </w:tc>
        <w:tc>
          <w:tcPr>
            <w:tcW w:w="1231" w:type="dxa"/>
          </w:tcPr>
          <w:p w14:paraId="0B723BC2">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现任运维项目经理</w:t>
            </w:r>
          </w:p>
        </w:tc>
        <w:tc>
          <w:tcPr>
            <w:tcW w:w="3407" w:type="dxa"/>
          </w:tcPr>
          <w:p w14:paraId="45C8DC3A">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导师制： 由外聘导师进行一对一领导力辅导</w:t>
            </w:r>
          </w:p>
          <w:p w14:paraId="6564FC3A">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轮岗实践： 短期轮岗至研究总院、质量管理部，了解全业务链</w:t>
            </w:r>
          </w:p>
          <w:p w14:paraId="2A7DDC60">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授权历练： 独立负责部门季度规划、预算编制模拟、主持重要客户会议</w:t>
            </w:r>
          </w:p>
        </w:tc>
        <w:tc>
          <w:tcPr>
            <w:tcW w:w="920" w:type="dxa"/>
          </w:tcPr>
          <w:p w14:paraId="11F17C2D">
            <w:pPr>
              <w:pStyle w:val="29"/>
              <w:widowControl w:val="0"/>
              <w:ind w:left="0" w:leftChars="0" w:right="0" w:rightChars="0" w:firstLine="0" w:firstLineChars="0"/>
              <w:jc w:val="both"/>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2025年8月</w:t>
            </w:r>
          </w:p>
        </w:tc>
      </w:tr>
      <w:tr w14:paraId="2B39E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2" w:type="dxa"/>
          </w:tcPr>
          <w:p w14:paraId="459FC0B5">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运维项目经理</w:t>
            </w:r>
          </w:p>
        </w:tc>
        <w:tc>
          <w:tcPr>
            <w:tcW w:w="1111" w:type="dxa"/>
          </w:tcPr>
          <w:p w14:paraId="61649EDA">
            <w:pPr>
              <w:pStyle w:val="29"/>
              <w:widowControl w:val="0"/>
              <w:ind w:left="0" w:leftChars="0" w:right="0" w:rightChars="0" w:firstLine="0" w:firstLineChars="0"/>
              <w:jc w:val="both"/>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1人</w:t>
            </w:r>
          </w:p>
        </w:tc>
        <w:tc>
          <w:tcPr>
            <w:tcW w:w="1231" w:type="dxa"/>
          </w:tcPr>
          <w:p w14:paraId="5D6C05FE">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现任运维工程师</w:t>
            </w:r>
          </w:p>
        </w:tc>
        <w:tc>
          <w:tcPr>
            <w:tcW w:w="3407" w:type="dxa"/>
          </w:tcPr>
          <w:p w14:paraId="47FFC1DE">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项目实践： 担任小型项目副组长，在指导下全程参与项目管理</w:t>
            </w:r>
          </w:p>
          <w:p w14:paraId="2FA9F26C">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专项培训： 参加PMP认证培训，学习项目管理方法论</w:t>
            </w:r>
          </w:p>
          <w:p w14:paraId="1418DDC1">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参与决策： 列席项目复盘会、售前技术方案讨论会</w:t>
            </w:r>
          </w:p>
        </w:tc>
        <w:tc>
          <w:tcPr>
            <w:tcW w:w="920" w:type="dxa"/>
          </w:tcPr>
          <w:p w14:paraId="5648CAED">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w:t>
            </w:r>
            <w:r>
              <w:rPr>
                <w:rFonts w:hint="eastAsia" w:ascii="宋体" w:hAnsi="宋体" w:cs="宋体"/>
                <w:sz w:val="16"/>
                <w:szCs w:val="16"/>
                <w:vertAlign w:val="baseline"/>
                <w:lang w:val="en-US" w:eastAsia="zh-CN"/>
              </w:rPr>
              <w:t>9</w:t>
            </w:r>
            <w:r>
              <w:rPr>
                <w:rFonts w:hint="eastAsia" w:ascii="宋体" w:hAnsi="宋体" w:eastAsia="宋体" w:cs="宋体"/>
                <w:sz w:val="16"/>
                <w:szCs w:val="16"/>
                <w:vertAlign w:val="baseline"/>
                <w:lang w:val="en-US" w:eastAsia="zh-CN"/>
              </w:rPr>
              <w:t>月</w:t>
            </w:r>
          </w:p>
        </w:tc>
      </w:tr>
      <w:tr w14:paraId="06A67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2" w:type="dxa"/>
          </w:tcPr>
          <w:p w14:paraId="28897391">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研究总院经理</w:t>
            </w:r>
          </w:p>
        </w:tc>
        <w:tc>
          <w:tcPr>
            <w:tcW w:w="1111" w:type="dxa"/>
          </w:tcPr>
          <w:p w14:paraId="79DF0DD9">
            <w:pPr>
              <w:pStyle w:val="29"/>
              <w:widowControl w:val="0"/>
              <w:ind w:left="0" w:leftChars="0" w:right="0" w:rightChars="0" w:firstLine="0" w:firstLineChars="0"/>
              <w:jc w:val="both"/>
              <w:rPr>
                <w:rFonts w:hint="default"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1人</w:t>
            </w:r>
          </w:p>
        </w:tc>
        <w:tc>
          <w:tcPr>
            <w:tcW w:w="1231" w:type="dxa"/>
          </w:tcPr>
          <w:p w14:paraId="3DD8C47D">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现任开发工程师</w:t>
            </w:r>
          </w:p>
        </w:tc>
        <w:tc>
          <w:tcPr>
            <w:tcW w:w="3407" w:type="dxa"/>
          </w:tcPr>
          <w:p w14:paraId="4AE3A95B">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1. 技术管理： 负责技术选型评审、代码规范制定</w:t>
            </w:r>
          </w:p>
          <w:p w14:paraId="126DF2F2">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 带队任务： 作为技术组长，带领小组完成一个产品模块的开发。</w:t>
            </w:r>
          </w:p>
          <w:p w14:paraId="4A1C7445">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0" w:leftChars="0" w:right="0" w:rightChars="0" w:firstLine="0" w:firstLineChars="0"/>
              <w:jc w:val="both"/>
              <w:textAlignment w:val="baseline"/>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3. 业务接触： 跟随项目经理参与客户需求调研，理解业务痛点</w:t>
            </w:r>
          </w:p>
        </w:tc>
        <w:tc>
          <w:tcPr>
            <w:tcW w:w="920" w:type="dxa"/>
          </w:tcPr>
          <w:p w14:paraId="17326200">
            <w:pPr>
              <w:pStyle w:val="29"/>
              <w:widowControl w:val="0"/>
              <w:ind w:left="0" w:leftChars="0" w:right="0" w:rightChars="0" w:firstLine="0" w:firstLineChars="0"/>
              <w:jc w:val="both"/>
              <w:rPr>
                <w:rFonts w:hint="eastAsia" w:ascii="宋体" w:hAnsi="宋体" w:eastAsia="宋体" w:cs="宋体"/>
                <w:sz w:val="16"/>
                <w:szCs w:val="16"/>
                <w:vertAlign w:val="baseline"/>
                <w:lang w:val="en-US" w:eastAsia="zh-CN"/>
              </w:rPr>
            </w:pPr>
            <w:r>
              <w:rPr>
                <w:rFonts w:hint="eastAsia" w:ascii="宋体" w:hAnsi="宋体" w:eastAsia="宋体" w:cs="宋体"/>
                <w:sz w:val="16"/>
                <w:szCs w:val="16"/>
                <w:vertAlign w:val="baseline"/>
                <w:lang w:val="en-US" w:eastAsia="zh-CN"/>
              </w:rPr>
              <w:t>2025年</w:t>
            </w:r>
            <w:r>
              <w:rPr>
                <w:rFonts w:hint="eastAsia" w:ascii="宋体" w:hAnsi="宋体" w:cs="宋体"/>
                <w:sz w:val="16"/>
                <w:szCs w:val="16"/>
                <w:vertAlign w:val="baseline"/>
                <w:lang w:val="en-US" w:eastAsia="zh-CN"/>
              </w:rPr>
              <w:t>11</w:t>
            </w:r>
            <w:r>
              <w:rPr>
                <w:rFonts w:hint="eastAsia" w:ascii="宋体" w:hAnsi="宋体" w:eastAsia="宋体" w:cs="宋体"/>
                <w:sz w:val="16"/>
                <w:szCs w:val="16"/>
                <w:vertAlign w:val="baseline"/>
                <w:lang w:val="en-US" w:eastAsia="zh-CN"/>
              </w:rPr>
              <w:t>月</w:t>
            </w:r>
          </w:p>
        </w:tc>
      </w:tr>
    </w:tbl>
    <w:p w14:paraId="676023C7">
      <w:pPr>
        <w:pStyle w:val="30"/>
        <w:bidi w:val="0"/>
        <w:rPr>
          <w:rFonts w:hint="default"/>
          <w:lang w:val="en-US" w:eastAsia="zh-CN"/>
        </w:rPr>
      </w:pPr>
      <w:bookmarkStart w:id="12" w:name="_Toc19250"/>
      <w:r>
        <w:rPr>
          <w:rFonts w:hint="eastAsia"/>
          <w:lang w:val="en-US" w:eastAsia="zh-CN"/>
        </w:rPr>
        <w:t>人员培训管理计划</w:t>
      </w:r>
      <w:bookmarkEnd w:id="12"/>
    </w:p>
    <w:p w14:paraId="16F18F57">
      <w:pPr>
        <w:pStyle w:val="31"/>
        <w:bidi w:val="0"/>
        <w:rPr>
          <w:rFonts w:hint="eastAsia"/>
          <w:lang w:val="en-US" w:eastAsia="zh-CN"/>
        </w:rPr>
      </w:pPr>
      <w:bookmarkStart w:id="13" w:name="_Toc16901"/>
      <w:r>
        <w:rPr>
          <w:rFonts w:hint="eastAsia"/>
          <w:lang w:val="en-US" w:eastAsia="zh-CN"/>
        </w:rPr>
        <w:t>目的</w:t>
      </w:r>
      <w:bookmarkEnd w:id="13"/>
    </w:p>
    <w:p w14:paraId="554A963F">
      <w:pPr>
        <w:pStyle w:val="29"/>
        <w:rPr>
          <w:rFonts w:hint="eastAsia"/>
          <w:lang w:val="en-US" w:eastAsia="zh-CN"/>
        </w:rPr>
      </w:pPr>
      <w:r>
        <w:rPr>
          <w:rFonts w:hint="eastAsia"/>
          <w:lang w:val="en-US" w:eastAsia="zh-CN"/>
        </w:rPr>
        <w:t>为确保新老员工能快速适应公司战略转型要求，提升整体专业素养与协同效率，本培训计划旨在通过系统性的赋能，统一服务思想、补齐技能短板、培养后备骨干，从而构建一支既能深入专业领域又能协同作战的复合型团队。</w:t>
      </w:r>
    </w:p>
    <w:p w14:paraId="23B33426">
      <w:pPr>
        <w:pStyle w:val="31"/>
        <w:bidi w:val="0"/>
        <w:rPr>
          <w:rFonts w:hint="default"/>
          <w:lang w:val="en-US" w:eastAsia="zh-CN"/>
        </w:rPr>
      </w:pPr>
      <w:bookmarkStart w:id="14" w:name="_Toc10601"/>
      <w:r>
        <w:rPr>
          <w:rFonts w:hint="eastAsia"/>
          <w:lang w:val="en-US" w:eastAsia="zh-CN"/>
        </w:rPr>
        <w:t>实际内容</w:t>
      </w:r>
      <w:bookmarkEnd w:id="14"/>
    </w:p>
    <w:p w14:paraId="772300F3">
      <w:pPr>
        <w:pStyle w:val="29"/>
        <w:rPr>
          <w:rFonts w:hint="eastAsia"/>
          <w:lang w:val="en-US" w:eastAsia="zh-CN"/>
        </w:rPr>
      </w:pPr>
      <w:r>
        <w:rPr>
          <w:rFonts w:hint="eastAsia"/>
          <w:lang w:val="en-US" w:eastAsia="zh-CN"/>
        </w:rPr>
        <w:t>培训计划，如表2-3所示</w:t>
      </w:r>
    </w:p>
    <w:p w14:paraId="609CFF88">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2935"/>
        <w:gridCol w:w="1516"/>
        <w:gridCol w:w="1516"/>
        <w:gridCol w:w="1310"/>
      </w:tblGrid>
      <w:tr w14:paraId="6F414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tcPr>
          <w:p w14:paraId="4E713248">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季度</w:t>
            </w:r>
          </w:p>
        </w:tc>
        <w:tc>
          <w:tcPr>
            <w:tcW w:w="2935" w:type="dxa"/>
          </w:tcPr>
          <w:p w14:paraId="2C06A6D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培训主题</w:t>
            </w:r>
          </w:p>
        </w:tc>
        <w:tc>
          <w:tcPr>
            <w:tcW w:w="1516" w:type="dxa"/>
          </w:tcPr>
          <w:p w14:paraId="63E7F63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主要部门</w:t>
            </w:r>
          </w:p>
        </w:tc>
        <w:tc>
          <w:tcPr>
            <w:tcW w:w="1516" w:type="dxa"/>
          </w:tcPr>
          <w:p w14:paraId="2285C414">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培训时间</w:t>
            </w:r>
          </w:p>
        </w:tc>
        <w:tc>
          <w:tcPr>
            <w:tcW w:w="1310" w:type="dxa"/>
          </w:tcPr>
          <w:p w14:paraId="749339B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培训方式</w:t>
            </w:r>
          </w:p>
        </w:tc>
      </w:tr>
      <w:tr w14:paraId="5817E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17AC7488">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20D1F19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第一季度</w:t>
            </w:r>
          </w:p>
        </w:tc>
        <w:tc>
          <w:tcPr>
            <w:tcW w:w="2935" w:type="dxa"/>
          </w:tcPr>
          <w:p w14:paraId="1A4F2B3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公司战略与文化融合</w:t>
            </w:r>
          </w:p>
        </w:tc>
        <w:tc>
          <w:tcPr>
            <w:tcW w:w="1516" w:type="dxa"/>
          </w:tcPr>
          <w:p w14:paraId="7B2D1E2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全体员工</w:t>
            </w:r>
          </w:p>
        </w:tc>
        <w:tc>
          <w:tcPr>
            <w:tcW w:w="1516" w:type="dxa"/>
          </w:tcPr>
          <w:p w14:paraId="632F04E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2025年2月</w:t>
            </w:r>
          </w:p>
        </w:tc>
        <w:tc>
          <w:tcPr>
            <w:tcW w:w="1310" w:type="dxa"/>
          </w:tcPr>
          <w:p w14:paraId="5D629F9B">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w:t>
            </w:r>
          </w:p>
        </w:tc>
      </w:tr>
      <w:tr w14:paraId="3610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506580E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28A2C57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ITSS服务标准基础概念</w:t>
            </w:r>
          </w:p>
        </w:tc>
        <w:tc>
          <w:tcPr>
            <w:tcW w:w="1516" w:type="dxa"/>
          </w:tcPr>
          <w:p w14:paraId="78B15BA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数智运营部、质量管理部、人力部</w:t>
            </w:r>
          </w:p>
        </w:tc>
        <w:tc>
          <w:tcPr>
            <w:tcW w:w="1516" w:type="dxa"/>
          </w:tcPr>
          <w:p w14:paraId="569C5AC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2025年3月</w:t>
            </w:r>
          </w:p>
        </w:tc>
        <w:tc>
          <w:tcPr>
            <w:tcW w:w="1310" w:type="dxa"/>
          </w:tcPr>
          <w:p w14:paraId="6B6FD44D">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191AA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1F1EA5D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786E1E7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技术岗位画像与面试技巧</w:t>
            </w:r>
          </w:p>
        </w:tc>
        <w:tc>
          <w:tcPr>
            <w:tcW w:w="1516" w:type="dxa"/>
          </w:tcPr>
          <w:p w14:paraId="291C95F6">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人力部</w:t>
            </w:r>
          </w:p>
        </w:tc>
        <w:tc>
          <w:tcPr>
            <w:tcW w:w="1516" w:type="dxa"/>
          </w:tcPr>
          <w:p w14:paraId="370024E1">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2025年3月</w:t>
            </w:r>
          </w:p>
        </w:tc>
        <w:tc>
          <w:tcPr>
            <w:tcW w:w="1310" w:type="dxa"/>
          </w:tcPr>
          <w:p w14:paraId="74494313">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专项</w:t>
            </w:r>
          </w:p>
        </w:tc>
      </w:tr>
      <w:tr w14:paraId="7271B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70921FD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4B6EA63B">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第二季度</w:t>
            </w:r>
          </w:p>
        </w:tc>
        <w:tc>
          <w:tcPr>
            <w:tcW w:w="2935" w:type="dxa"/>
          </w:tcPr>
          <w:p w14:paraId="1FFB5CD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Java核心框架培训</w:t>
            </w:r>
          </w:p>
        </w:tc>
        <w:tc>
          <w:tcPr>
            <w:tcW w:w="1516" w:type="dxa"/>
          </w:tcPr>
          <w:p w14:paraId="35482C1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研究总院</w:t>
            </w:r>
          </w:p>
        </w:tc>
        <w:tc>
          <w:tcPr>
            <w:tcW w:w="1516" w:type="dxa"/>
          </w:tcPr>
          <w:p w14:paraId="701D7D2A">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2025年4月</w:t>
            </w:r>
          </w:p>
        </w:tc>
        <w:tc>
          <w:tcPr>
            <w:tcW w:w="1310" w:type="dxa"/>
          </w:tcPr>
          <w:p w14:paraId="70284D27">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50F43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06AF0D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3F20FA60">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Linux系统管理与shell脚本</w:t>
            </w:r>
          </w:p>
        </w:tc>
        <w:tc>
          <w:tcPr>
            <w:tcW w:w="1516" w:type="dxa"/>
          </w:tcPr>
          <w:p w14:paraId="39ADD7CE">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数智运营部、研究总院</w:t>
            </w:r>
          </w:p>
        </w:tc>
        <w:tc>
          <w:tcPr>
            <w:tcW w:w="1516" w:type="dxa"/>
          </w:tcPr>
          <w:p w14:paraId="4F41FBF3">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2025年5月</w:t>
            </w:r>
          </w:p>
        </w:tc>
        <w:tc>
          <w:tcPr>
            <w:tcW w:w="1310" w:type="dxa"/>
          </w:tcPr>
          <w:p w14:paraId="032D4EE7">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w:t>
            </w:r>
          </w:p>
        </w:tc>
      </w:tr>
      <w:tr w14:paraId="13A45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BA3F3DE">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5E511EF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硬件运维服务技能</w:t>
            </w:r>
          </w:p>
        </w:tc>
        <w:tc>
          <w:tcPr>
            <w:tcW w:w="1516" w:type="dxa"/>
          </w:tcPr>
          <w:p w14:paraId="4C0F89C8">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数智运营部</w:t>
            </w:r>
          </w:p>
        </w:tc>
        <w:tc>
          <w:tcPr>
            <w:tcW w:w="1516" w:type="dxa"/>
          </w:tcPr>
          <w:p w14:paraId="4CA74441">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2025年5月</w:t>
            </w:r>
          </w:p>
        </w:tc>
        <w:tc>
          <w:tcPr>
            <w:tcW w:w="1310" w:type="dxa"/>
          </w:tcPr>
          <w:p w14:paraId="393B73C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内部</w:t>
            </w:r>
          </w:p>
        </w:tc>
      </w:tr>
      <w:tr w14:paraId="11A08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6C95863D">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35BD9D9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ITSS服务质量与内审流程</w:t>
            </w:r>
          </w:p>
        </w:tc>
        <w:tc>
          <w:tcPr>
            <w:tcW w:w="1516" w:type="dxa"/>
          </w:tcPr>
          <w:p w14:paraId="174CD44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质量管理部</w:t>
            </w:r>
          </w:p>
        </w:tc>
        <w:tc>
          <w:tcPr>
            <w:tcW w:w="1516" w:type="dxa"/>
          </w:tcPr>
          <w:p w14:paraId="61E0BD27">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2025年6月</w:t>
            </w:r>
          </w:p>
        </w:tc>
        <w:tc>
          <w:tcPr>
            <w:tcW w:w="1310" w:type="dxa"/>
          </w:tcPr>
          <w:p w14:paraId="35A92534">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r w14:paraId="64582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3FA4604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40507EC6">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IT软硬件采购流程入门</w:t>
            </w:r>
          </w:p>
        </w:tc>
        <w:tc>
          <w:tcPr>
            <w:tcW w:w="1516" w:type="dxa"/>
          </w:tcPr>
          <w:p w14:paraId="326E185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采购部</w:t>
            </w:r>
          </w:p>
        </w:tc>
        <w:tc>
          <w:tcPr>
            <w:tcW w:w="1516" w:type="dxa"/>
            <w:shd w:val="clear" w:color="auto" w:fill="auto"/>
          </w:tcPr>
          <w:p w14:paraId="65EDCA40">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2025年6月</w:t>
            </w:r>
          </w:p>
        </w:tc>
        <w:tc>
          <w:tcPr>
            <w:tcW w:w="1310" w:type="dxa"/>
          </w:tcPr>
          <w:p w14:paraId="713CE97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流程讲解</w:t>
            </w:r>
          </w:p>
        </w:tc>
      </w:tr>
      <w:tr w14:paraId="62941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0400EA14">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38C9AC60">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第三季度</w:t>
            </w:r>
          </w:p>
        </w:tc>
        <w:tc>
          <w:tcPr>
            <w:tcW w:w="2935" w:type="dxa"/>
          </w:tcPr>
          <w:p w14:paraId="67EC9700">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前端开发框架培训</w:t>
            </w:r>
          </w:p>
        </w:tc>
        <w:tc>
          <w:tcPr>
            <w:tcW w:w="1516" w:type="dxa"/>
          </w:tcPr>
          <w:p w14:paraId="637AA1A7">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研究总院</w:t>
            </w:r>
          </w:p>
        </w:tc>
        <w:tc>
          <w:tcPr>
            <w:tcW w:w="1516" w:type="dxa"/>
            <w:shd w:val="clear" w:color="auto" w:fill="auto"/>
          </w:tcPr>
          <w:p w14:paraId="3967218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2025年7月</w:t>
            </w:r>
          </w:p>
        </w:tc>
        <w:tc>
          <w:tcPr>
            <w:tcW w:w="1310" w:type="dxa"/>
          </w:tcPr>
          <w:p w14:paraId="003F841A">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线上培训</w:t>
            </w:r>
          </w:p>
        </w:tc>
      </w:tr>
      <w:tr w14:paraId="79BC5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1AE5BF7B">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4AFC10B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云平台基础</w:t>
            </w:r>
          </w:p>
        </w:tc>
        <w:tc>
          <w:tcPr>
            <w:tcW w:w="1516" w:type="dxa"/>
          </w:tcPr>
          <w:p w14:paraId="6F3F7D6B">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数智运营部、研究总院</w:t>
            </w:r>
          </w:p>
        </w:tc>
        <w:tc>
          <w:tcPr>
            <w:tcW w:w="1516" w:type="dxa"/>
            <w:shd w:val="clear" w:color="auto" w:fill="auto"/>
          </w:tcPr>
          <w:p w14:paraId="740F406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2025年8月</w:t>
            </w:r>
          </w:p>
        </w:tc>
        <w:tc>
          <w:tcPr>
            <w:tcW w:w="1310" w:type="dxa"/>
          </w:tcPr>
          <w:p w14:paraId="331C204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认证培训</w:t>
            </w:r>
          </w:p>
        </w:tc>
      </w:tr>
      <w:tr w14:paraId="62ADD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0F0DD29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4CF023D8">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客户沟通与投诉处理</w:t>
            </w:r>
          </w:p>
        </w:tc>
        <w:tc>
          <w:tcPr>
            <w:tcW w:w="1516" w:type="dxa"/>
          </w:tcPr>
          <w:p w14:paraId="0321FCAB">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数智运营部、服务台</w:t>
            </w:r>
          </w:p>
        </w:tc>
        <w:tc>
          <w:tcPr>
            <w:tcW w:w="1516" w:type="dxa"/>
            <w:shd w:val="clear" w:color="auto" w:fill="auto"/>
          </w:tcPr>
          <w:p w14:paraId="54953887">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2025年8月</w:t>
            </w:r>
          </w:p>
        </w:tc>
        <w:tc>
          <w:tcPr>
            <w:tcW w:w="1310" w:type="dxa"/>
          </w:tcPr>
          <w:p w14:paraId="695D05E3">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角色扮演</w:t>
            </w:r>
          </w:p>
        </w:tc>
      </w:tr>
      <w:tr w14:paraId="02B3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4EBFDE57">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p>
        </w:tc>
        <w:tc>
          <w:tcPr>
            <w:tcW w:w="2935" w:type="dxa"/>
          </w:tcPr>
          <w:p w14:paraId="7CDFCA2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项目管理基础</w:t>
            </w:r>
          </w:p>
        </w:tc>
        <w:tc>
          <w:tcPr>
            <w:tcW w:w="1516" w:type="dxa"/>
          </w:tcPr>
          <w:p w14:paraId="165F717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数智运营部、研究总院、质量管理部</w:t>
            </w:r>
          </w:p>
        </w:tc>
        <w:tc>
          <w:tcPr>
            <w:tcW w:w="1516" w:type="dxa"/>
            <w:shd w:val="clear" w:color="auto" w:fill="auto"/>
          </w:tcPr>
          <w:p w14:paraId="335DDF0D">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2025年9月</w:t>
            </w:r>
          </w:p>
        </w:tc>
        <w:tc>
          <w:tcPr>
            <w:tcW w:w="1310" w:type="dxa"/>
          </w:tcPr>
          <w:p w14:paraId="7E18E2C3">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线上认证</w:t>
            </w:r>
          </w:p>
        </w:tc>
      </w:tr>
      <w:tr w14:paraId="4DD7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restart"/>
          </w:tcPr>
          <w:p w14:paraId="51F36C8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w:t>
            </w:r>
          </w:p>
          <w:p w14:paraId="18A3D03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第四季度</w:t>
            </w:r>
          </w:p>
        </w:tc>
        <w:tc>
          <w:tcPr>
            <w:tcW w:w="2935" w:type="dxa"/>
          </w:tcPr>
          <w:p w14:paraId="7E7B1E20">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Python自动化运维脚本</w:t>
            </w:r>
          </w:p>
        </w:tc>
        <w:tc>
          <w:tcPr>
            <w:tcW w:w="1516" w:type="dxa"/>
          </w:tcPr>
          <w:p w14:paraId="5761C394">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数智运营部</w:t>
            </w:r>
          </w:p>
        </w:tc>
        <w:tc>
          <w:tcPr>
            <w:tcW w:w="1516" w:type="dxa"/>
            <w:shd w:val="clear" w:color="auto" w:fill="auto"/>
          </w:tcPr>
          <w:p w14:paraId="0D26C77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2025年10月</w:t>
            </w:r>
          </w:p>
        </w:tc>
        <w:tc>
          <w:tcPr>
            <w:tcW w:w="1310" w:type="dxa"/>
          </w:tcPr>
          <w:p w14:paraId="6DE760C0">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内部分享</w:t>
            </w:r>
          </w:p>
        </w:tc>
      </w:tr>
      <w:tr w14:paraId="45351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21653C9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tcPr>
          <w:p w14:paraId="2B31428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微服务框架与容器技术</w:t>
            </w:r>
          </w:p>
        </w:tc>
        <w:tc>
          <w:tcPr>
            <w:tcW w:w="1516" w:type="dxa"/>
          </w:tcPr>
          <w:p w14:paraId="149F3154">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研究总院</w:t>
            </w:r>
          </w:p>
        </w:tc>
        <w:tc>
          <w:tcPr>
            <w:tcW w:w="1516" w:type="dxa"/>
            <w:shd w:val="clear" w:color="auto" w:fill="auto"/>
          </w:tcPr>
          <w:p w14:paraId="659C4BAC">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2025年10月</w:t>
            </w:r>
          </w:p>
        </w:tc>
        <w:tc>
          <w:tcPr>
            <w:tcW w:w="1310" w:type="dxa"/>
          </w:tcPr>
          <w:p w14:paraId="1E1A8602">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内部分享</w:t>
            </w:r>
          </w:p>
        </w:tc>
      </w:tr>
      <w:tr w14:paraId="692C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370A01AD">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tcPr>
          <w:p w14:paraId="48FD0C0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服务知识管理培训</w:t>
            </w:r>
          </w:p>
        </w:tc>
        <w:tc>
          <w:tcPr>
            <w:tcW w:w="1516" w:type="dxa"/>
          </w:tcPr>
          <w:p w14:paraId="0DDBE646">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全体员工</w:t>
            </w:r>
          </w:p>
        </w:tc>
        <w:tc>
          <w:tcPr>
            <w:tcW w:w="1516" w:type="dxa"/>
            <w:shd w:val="clear" w:color="auto" w:fill="auto"/>
          </w:tcPr>
          <w:p w14:paraId="1DB641A3">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vertAlign w:val="baseline"/>
                <w:lang w:val="en-US" w:eastAsia="zh-CN"/>
              </w:rPr>
              <w:t>2025年11月</w:t>
            </w:r>
          </w:p>
        </w:tc>
        <w:tc>
          <w:tcPr>
            <w:tcW w:w="1310" w:type="dxa"/>
          </w:tcPr>
          <w:p w14:paraId="41BB8206">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总结</w:t>
            </w:r>
          </w:p>
        </w:tc>
      </w:tr>
      <w:tr w14:paraId="74A75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5" w:type="dxa"/>
            <w:vMerge w:val="continue"/>
          </w:tcPr>
          <w:p w14:paraId="0328373F">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p>
        </w:tc>
        <w:tc>
          <w:tcPr>
            <w:tcW w:w="2935" w:type="dxa"/>
          </w:tcPr>
          <w:p w14:paraId="0395FEE5">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团队管理与领导能力启蒙</w:t>
            </w:r>
          </w:p>
        </w:tc>
        <w:tc>
          <w:tcPr>
            <w:tcW w:w="1516" w:type="dxa"/>
          </w:tcPr>
          <w:p w14:paraId="4FB6699E">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部门经理、运维项目经理</w:t>
            </w:r>
          </w:p>
        </w:tc>
        <w:tc>
          <w:tcPr>
            <w:tcW w:w="1516" w:type="dxa"/>
            <w:shd w:val="clear" w:color="auto" w:fill="auto"/>
          </w:tcPr>
          <w:p w14:paraId="7115D029">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eastAsia"/>
                <w:vertAlign w:val="baseline"/>
                <w:lang w:val="en-US" w:eastAsia="zh-CN"/>
              </w:rPr>
            </w:pPr>
            <w:r>
              <w:rPr>
                <w:rFonts w:hint="eastAsia"/>
                <w:vertAlign w:val="baseline"/>
                <w:lang w:val="en-US" w:eastAsia="zh-CN"/>
              </w:rPr>
              <w:t>2025年11月</w:t>
            </w:r>
          </w:p>
        </w:tc>
        <w:tc>
          <w:tcPr>
            <w:tcW w:w="1310" w:type="dxa"/>
          </w:tcPr>
          <w:p w14:paraId="0B124A53">
            <w:pPr>
              <w:pStyle w:val="29"/>
              <w:keepNext w:val="0"/>
              <w:keepLines w:val="0"/>
              <w:pageBreakBefore w:val="0"/>
              <w:widowControl/>
              <w:kinsoku w:val="0"/>
              <w:wordWrap/>
              <w:overflowPunct/>
              <w:topLinePunct w:val="0"/>
              <w:autoSpaceDE w:val="0"/>
              <w:autoSpaceDN w:val="0"/>
              <w:bidi w:val="0"/>
              <w:adjustRightInd w:val="0"/>
              <w:snapToGrid w:val="0"/>
              <w:ind w:right="0" w:rightChars="0" w:firstLine="0" w:firstLineChars="0"/>
              <w:jc w:val="left"/>
              <w:textAlignment w:val="baseline"/>
              <w:rPr>
                <w:rFonts w:hint="default"/>
                <w:vertAlign w:val="baseline"/>
                <w:lang w:val="en-US" w:eastAsia="zh-CN"/>
              </w:rPr>
            </w:pPr>
            <w:r>
              <w:rPr>
                <w:rFonts w:hint="eastAsia"/>
                <w:vertAlign w:val="baseline"/>
                <w:lang w:val="en-US" w:eastAsia="zh-CN"/>
              </w:rPr>
              <w:t>外聘</w:t>
            </w:r>
          </w:p>
        </w:tc>
      </w:tr>
    </w:tbl>
    <w:p w14:paraId="19D1A2DB">
      <w:pPr>
        <w:pStyle w:val="29"/>
        <w:ind w:left="0" w:leftChars="0" w:right="0" w:rightChars="0" w:firstLine="0" w:firstLineChars="0"/>
        <w:jc w:val="center"/>
        <w:rPr>
          <w:rFonts w:hint="eastAsia"/>
          <w:lang w:val="en-US" w:eastAsia="zh-CN"/>
        </w:rPr>
      </w:pPr>
    </w:p>
    <w:p w14:paraId="51E703C2">
      <w:pPr>
        <w:pStyle w:val="29"/>
        <w:ind w:left="0" w:leftChars="0" w:right="0" w:rightChars="0" w:firstLine="0" w:firstLineChars="0"/>
        <w:jc w:val="left"/>
        <w:rPr>
          <w:rFonts w:hint="eastAsia"/>
          <w:lang w:val="en-US" w:eastAsia="zh-CN"/>
        </w:rPr>
      </w:pPr>
      <w:r>
        <w:rPr>
          <w:rFonts w:hint="eastAsia"/>
          <w:lang w:val="en-US" w:eastAsia="zh-CN"/>
        </w:rPr>
        <w:t>培训保障机制：</w:t>
      </w:r>
    </w:p>
    <w:p w14:paraId="2EA30227">
      <w:pPr>
        <w:pStyle w:val="29"/>
        <w:ind w:left="0" w:leftChars="0" w:right="0" w:rightChars="0" w:firstLine="0" w:firstLineChars="0"/>
        <w:jc w:val="left"/>
        <w:rPr>
          <w:rFonts w:hint="eastAsia"/>
          <w:lang w:val="en-US" w:eastAsia="zh-CN"/>
        </w:rPr>
      </w:pPr>
      <w:r>
        <w:rPr>
          <w:rFonts w:hint="eastAsia"/>
          <w:lang w:val="en-US" w:eastAsia="zh-CN"/>
        </w:rPr>
        <w:t>预算支持：公司设立专项培训经费，用于支付外部讲师、课程费用及认证考试费。</w:t>
      </w:r>
    </w:p>
    <w:p w14:paraId="1703E9B5">
      <w:pPr>
        <w:pStyle w:val="29"/>
        <w:ind w:left="0" w:leftChars="0" w:right="0" w:rightChars="0" w:firstLine="0" w:firstLineChars="0"/>
        <w:jc w:val="left"/>
        <w:rPr>
          <w:rFonts w:hint="eastAsia"/>
          <w:lang w:val="en-US" w:eastAsia="zh-CN"/>
        </w:rPr>
      </w:pPr>
      <w:r>
        <w:rPr>
          <w:rFonts w:hint="eastAsia"/>
          <w:lang w:val="en-US" w:eastAsia="zh-CN"/>
        </w:rPr>
        <w:t>效果评估：每次培训后通过问卷或考试进行评估，并要求受训员工进行内部分享，确保知识转化。</w:t>
      </w:r>
    </w:p>
    <w:p w14:paraId="5203F7CE">
      <w:pPr>
        <w:pStyle w:val="29"/>
        <w:ind w:left="0" w:leftChars="0" w:right="0" w:rightChars="0" w:firstLine="0" w:firstLineChars="0"/>
        <w:jc w:val="left"/>
        <w:rPr>
          <w:rFonts w:hint="eastAsia"/>
          <w:lang w:val="en-US" w:eastAsia="zh-CN"/>
        </w:rPr>
      </w:pPr>
      <w:r>
        <w:rPr>
          <w:rFonts w:hint="eastAsia"/>
          <w:lang w:val="en-US" w:eastAsia="zh-CN"/>
        </w:rPr>
        <w:t>与绩效挂钩：将培训参与度与完成情况纳入个人年度绩效考核的“能力与行为”维度。</w:t>
      </w:r>
    </w:p>
    <w:p w14:paraId="312E87D6">
      <w:pPr>
        <w:pStyle w:val="30"/>
        <w:bidi w:val="0"/>
        <w:rPr>
          <w:rFonts w:hint="eastAsia"/>
          <w:lang w:val="en-US" w:eastAsia="zh-CN"/>
        </w:rPr>
      </w:pPr>
      <w:bookmarkStart w:id="15" w:name="_Toc3286"/>
      <w:r>
        <w:rPr>
          <w:rFonts w:hint="eastAsia"/>
          <w:lang w:val="en-US" w:eastAsia="zh-CN"/>
        </w:rPr>
        <w:t>人员绩效考核管理计划</w:t>
      </w:r>
      <w:bookmarkEnd w:id="15"/>
    </w:p>
    <w:p w14:paraId="537333BF">
      <w:pPr>
        <w:pStyle w:val="31"/>
        <w:bidi w:val="0"/>
        <w:rPr>
          <w:rFonts w:hint="eastAsia"/>
          <w:lang w:val="en-US" w:eastAsia="zh-CN"/>
        </w:rPr>
      </w:pPr>
      <w:bookmarkStart w:id="16" w:name="_Toc24120"/>
      <w:r>
        <w:rPr>
          <w:rFonts w:hint="eastAsia"/>
          <w:lang w:val="en-US" w:eastAsia="zh-CN"/>
        </w:rPr>
        <w:t>目的</w:t>
      </w:r>
      <w:bookmarkEnd w:id="16"/>
    </w:p>
    <w:p w14:paraId="58E42045">
      <w:pPr>
        <w:pStyle w:val="29"/>
        <w:rPr>
          <w:rFonts w:hint="eastAsia"/>
          <w:lang w:val="en-US" w:eastAsia="zh-CN"/>
        </w:rPr>
      </w:pPr>
      <w:r>
        <w:rPr>
          <w:rFonts w:hint="eastAsia"/>
          <w:lang w:val="en-US" w:eastAsia="zh-CN"/>
        </w:rPr>
        <w:t>为驱动公司战略目标有效分解与落地，激励员工产生高价值贡献，并营造公平、公正的评估与激励环境，本绩效方案旨在建立一套与转型目标强关联、量化为主的考核体系，将个人收入与成长与公司发展紧密捆绑。</w:t>
      </w:r>
    </w:p>
    <w:p w14:paraId="0EF02F90">
      <w:pPr>
        <w:pStyle w:val="31"/>
        <w:bidi w:val="0"/>
        <w:rPr>
          <w:rFonts w:hint="default"/>
          <w:lang w:val="en-US" w:eastAsia="zh-CN"/>
        </w:rPr>
      </w:pPr>
      <w:bookmarkStart w:id="17" w:name="_Toc24003"/>
      <w:r>
        <w:rPr>
          <w:rFonts w:hint="eastAsia"/>
          <w:lang w:val="en-US" w:eastAsia="zh-CN"/>
        </w:rPr>
        <w:t>实际内容</w:t>
      </w:r>
      <w:bookmarkEnd w:id="17"/>
    </w:p>
    <w:p w14:paraId="204A5326">
      <w:pPr>
        <w:pStyle w:val="29"/>
        <w:rPr>
          <w:rFonts w:hint="default"/>
          <w:lang w:val="en-US" w:eastAsia="zh-CN"/>
        </w:rPr>
      </w:pPr>
      <w:r>
        <w:rPr>
          <w:rFonts w:hint="eastAsia"/>
          <w:lang w:val="en-US" w:eastAsia="zh-CN"/>
        </w:rPr>
        <w:t>依据《绩效考核管理制度》每月对人员进行考核，要求绩效考核合格率达到95%以上</w:t>
      </w:r>
    </w:p>
    <w:p w14:paraId="403B4C9A">
      <w:pPr>
        <w:pStyle w:val="30"/>
        <w:bidi w:val="0"/>
        <w:rPr>
          <w:rFonts w:hint="eastAsia"/>
          <w:lang w:val="en-US" w:eastAsia="zh-CN"/>
        </w:rPr>
      </w:pPr>
      <w:bookmarkStart w:id="18" w:name="_Toc4092"/>
      <w:r>
        <w:rPr>
          <w:rFonts w:hint="eastAsia"/>
          <w:lang w:val="en-US" w:eastAsia="zh-CN"/>
        </w:rPr>
        <w:t>人员技能评定管理计划</w:t>
      </w:r>
      <w:bookmarkEnd w:id="18"/>
    </w:p>
    <w:p w14:paraId="721DBA2E">
      <w:pPr>
        <w:pStyle w:val="31"/>
        <w:bidi w:val="0"/>
        <w:rPr>
          <w:rFonts w:hint="eastAsia"/>
          <w:lang w:val="en-US" w:eastAsia="zh-CN"/>
        </w:rPr>
      </w:pPr>
      <w:bookmarkStart w:id="19" w:name="_Toc758"/>
      <w:r>
        <w:rPr>
          <w:rFonts w:hint="eastAsia"/>
          <w:lang w:val="en-US" w:eastAsia="zh-CN"/>
        </w:rPr>
        <w:t>目的</w:t>
      </w:r>
      <w:bookmarkEnd w:id="19"/>
    </w:p>
    <w:p w14:paraId="602130CB">
      <w:pPr>
        <w:pStyle w:val="29"/>
        <w:rPr>
          <w:rFonts w:hint="eastAsia"/>
          <w:lang w:val="en-US" w:eastAsia="zh-CN"/>
        </w:rPr>
      </w:pPr>
      <w:r>
        <w:rPr>
          <w:rFonts w:hint="eastAsia"/>
          <w:lang w:val="en-US" w:eastAsia="zh-CN"/>
        </w:rPr>
        <w:t>为客观衡量员工能力水平，打通“能力-薪酬-晋升”的职业发展通道，并为培训、招聘等工作提供精准依据，本评定计划旨在建立一套标准化的岗位技能等级体系与评定流程，实现对人才能力的精准盘点与有效激励。</w:t>
      </w:r>
    </w:p>
    <w:p w14:paraId="40B7F2CC">
      <w:pPr>
        <w:pStyle w:val="31"/>
        <w:bidi w:val="0"/>
        <w:rPr>
          <w:rFonts w:hint="default"/>
          <w:lang w:val="en-US" w:eastAsia="zh-CN"/>
        </w:rPr>
      </w:pPr>
      <w:bookmarkStart w:id="20" w:name="_Toc30858"/>
      <w:r>
        <w:rPr>
          <w:rFonts w:hint="eastAsia"/>
          <w:lang w:val="en-US" w:eastAsia="zh-CN"/>
        </w:rPr>
        <w:t>实际内容</w:t>
      </w:r>
      <w:bookmarkEnd w:id="20"/>
    </w:p>
    <w:p w14:paraId="4FCFB9A2">
      <w:pPr>
        <w:spacing w:before="78" w:line="361" w:lineRule="auto"/>
        <w:ind w:left="14" w:firstLine="474"/>
        <w:jc w:val="both"/>
        <w:rPr>
          <w:rFonts w:hint="default" w:ascii="宋体" w:hAnsi="宋体" w:eastAsia="宋体" w:cs="宋体"/>
          <w:spacing w:val="-1"/>
          <w:sz w:val="24"/>
          <w:szCs w:val="24"/>
          <w:lang w:val="en-US" w:eastAsia="zh-CN"/>
        </w:rPr>
      </w:pPr>
      <w:r>
        <w:rPr>
          <w:rFonts w:hint="eastAsia" w:ascii="宋体" w:hAnsi="宋体" w:cs="宋体"/>
          <w:spacing w:val="-1"/>
          <w:sz w:val="24"/>
          <w:szCs w:val="24"/>
          <w:lang w:val="en-US" w:eastAsia="zh-CN"/>
        </w:rPr>
        <w:t>根据《技能评定管理制度》</w:t>
      </w:r>
      <w:r>
        <w:rPr>
          <w:rFonts w:hint="eastAsia" w:ascii="宋体" w:hAnsi="宋体" w:eastAsia="宋体" w:cs="宋体"/>
          <w:spacing w:val="-1"/>
          <w:sz w:val="24"/>
          <w:szCs w:val="24"/>
          <w:lang w:val="en-US" w:eastAsia="zh-CN"/>
        </w:rPr>
        <w:t>每季度对人员专业技能进行考核，要求考核合格率达到95%以上。</w:t>
      </w:r>
    </w:p>
    <w:p w14:paraId="60DC44FE">
      <w:pPr>
        <w:pStyle w:val="30"/>
        <w:bidi w:val="0"/>
        <w:rPr>
          <w:rFonts w:hint="default"/>
          <w:lang w:val="en-US" w:eastAsia="zh-CN"/>
        </w:rPr>
      </w:pPr>
      <w:bookmarkStart w:id="21" w:name="_Toc10739"/>
      <w:r>
        <w:rPr>
          <w:rFonts w:hint="eastAsia"/>
          <w:lang w:val="en-US" w:eastAsia="zh-CN"/>
        </w:rPr>
        <w:t>人员备份管理计划</w:t>
      </w:r>
      <w:bookmarkEnd w:id="21"/>
    </w:p>
    <w:p w14:paraId="3751BE75">
      <w:pPr>
        <w:pStyle w:val="31"/>
        <w:bidi w:val="0"/>
        <w:rPr>
          <w:rFonts w:hint="eastAsia"/>
          <w:lang w:val="en-US" w:eastAsia="zh-CN"/>
        </w:rPr>
      </w:pPr>
      <w:bookmarkStart w:id="22" w:name="_Toc9785"/>
      <w:r>
        <w:rPr>
          <w:rFonts w:hint="eastAsia"/>
          <w:lang w:val="en-US" w:eastAsia="zh-CN"/>
        </w:rPr>
        <w:t>目的</w:t>
      </w:r>
      <w:bookmarkEnd w:id="22"/>
    </w:p>
    <w:p w14:paraId="39A06811">
      <w:pPr>
        <w:pStyle w:val="29"/>
        <w:rPr>
          <w:rFonts w:hint="default"/>
          <w:lang w:val="en-US" w:eastAsia="zh-CN"/>
        </w:rPr>
      </w:pPr>
      <w:r>
        <w:rPr>
          <w:rFonts w:hint="default"/>
          <w:lang w:val="en-US" w:eastAsia="zh-CN"/>
        </w:rPr>
        <w:t>本计划旨在应对关键岗位员工因休假、离职、病假等突发性、短期缺席而导致的业务中断风险。其核心目标是保障当前业务运营的连续性与稳定性，确保各项工作在紧急情况下能无缝衔接，是一项业务连续性管理措施。</w:t>
      </w:r>
    </w:p>
    <w:p w14:paraId="2938C3FB">
      <w:pPr>
        <w:pStyle w:val="31"/>
        <w:bidi w:val="0"/>
        <w:rPr>
          <w:rFonts w:hint="default"/>
          <w:lang w:val="en-US" w:eastAsia="zh-CN"/>
        </w:rPr>
      </w:pPr>
      <w:bookmarkStart w:id="23" w:name="_Toc27413"/>
      <w:r>
        <w:rPr>
          <w:rFonts w:hint="eastAsia"/>
          <w:lang w:val="en-US" w:eastAsia="zh-CN"/>
        </w:rPr>
        <w:t>实际内容</w:t>
      </w:r>
      <w:bookmarkEnd w:id="23"/>
    </w:p>
    <w:p w14:paraId="70CA3A89">
      <w:pPr>
        <w:pStyle w:val="29"/>
        <w:rPr>
          <w:rFonts w:hint="eastAsia"/>
          <w:lang w:val="en-US" w:eastAsia="zh-CN"/>
        </w:rPr>
      </w:pPr>
      <w:r>
        <w:rPr>
          <w:rFonts w:hint="default"/>
          <w:lang w:val="en-US" w:eastAsia="zh-CN"/>
        </w:rPr>
        <w:t>备份计划要求备份人员能在短期内（如1-4周）临时接替核心职责</w:t>
      </w:r>
      <w:r>
        <w:rPr>
          <w:rFonts w:hint="eastAsia"/>
          <w:lang w:val="en-US" w:eastAsia="zh-CN"/>
        </w:rPr>
        <w:t>。关键岗位备份情况如表2-4所示</w:t>
      </w:r>
    </w:p>
    <w:p w14:paraId="243CCF17">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关键岗位备份表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F22F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4B8AEB0">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关键岗位</w:t>
            </w:r>
          </w:p>
        </w:tc>
        <w:tc>
          <w:tcPr>
            <w:tcW w:w="2130" w:type="dxa"/>
          </w:tcPr>
          <w:p w14:paraId="47B0D087">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主要备份人</w:t>
            </w:r>
          </w:p>
        </w:tc>
        <w:tc>
          <w:tcPr>
            <w:tcW w:w="2131" w:type="dxa"/>
          </w:tcPr>
          <w:p w14:paraId="4AE53AB9">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次要备份人</w:t>
            </w:r>
          </w:p>
        </w:tc>
        <w:tc>
          <w:tcPr>
            <w:tcW w:w="2131" w:type="dxa"/>
          </w:tcPr>
          <w:p w14:paraId="5F3DFD4F">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工作交接内容</w:t>
            </w:r>
          </w:p>
        </w:tc>
      </w:tr>
      <w:tr w14:paraId="4E2C5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CC297DD">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数智运营部经理</w:t>
            </w:r>
          </w:p>
        </w:tc>
        <w:tc>
          <w:tcPr>
            <w:tcW w:w="2130" w:type="dxa"/>
          </w:tcPr>
          <w:p w14:paraId="5E7400FF">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运维项目经理</w:t>
            </w:r>
          </w:p>
        </w:tc>
        <w:tc>
          <w:tcPr>
            <w:tcW w:w="2131" w:type="dxa"/>
          </w:tcPr>
          <w:p w14:paraId="7AD47335">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运维工程师</w:t>
            </w:r>
          </w:p>
        </w:tc>
        <w:tc>
          <w:tcPr>
            <w:tcW w:w="2131" w:type="dxa"/>
          </w:tcPr>
          <w:p w14:paraId="062CECE6">
            <w:pPr>
              <w:pStyle w:val="29"/>
              <w:widowControl w:val="0"/>
              <w:numPr>
                <w:ilvl w:val="0"/>
                <w:numId w:val="2"/>
              </w:numPr>
              <w:ind w:left="0" w:leftChars="0" w:right="0" w:rightChars="0" w:firstLine="0" w:firstLineChars="0"/>
              <w:jc w:val="both"/>
              <w:rPr>
                <w:rFonts w:hint="default"/>
                <w:vertAlign w:val="baseline"/>
                <w:lang w:val="en-US" w:eastAsia="zh-CN"/>
              </w:rPr>
            </w:pPr>
            <w:r>
              <w:rPr>
                <w:rFonts w:hint="eastAsia"/>
                <w:vertAlign w:val="baseline"/>
                <w:lang w:val="en-US" w:eastAsia="zh-CN"/>
              </w:rPr>
              <w:t>核心联系人</w:t>
            </w:r>
          </w:p>
          <w:p w14:paraId="08B56901">
            <w:pPr>
              <w:pStyle w:val="29"/>
              <w:widowControl w:val="0"/>
              <w:numPr>
                <w:ilvl w:val="0"/>
                <w:numId w:val="2"/>
              </w:numPr>
              <w:ind w:left="0" w:leftChars="0" w:right="0" w:rightChars="0" w:firstLine="0" w:firstLineChars="0"/>
              <w:jc w:val="both"/>
              <w:rPr>
                <w:rFonts w:hint="default"/>
                <w:vertAlign w:val="baseline"/>
                <w:lang w:val="en-US" w:eastAsia="zh-CN"/>
              </w:rPr>
            </w:pPr>
            <w:r>
              <w:rPr>
                <w:rFonts w:hint="eastAsia"/>
                <w:vertAlign w:val="baseline"/>
                <w:lang w:val="en-US" w:eastAsia="zh-CN"/>
              </w:rPr>
              <w:t>审批权限</w:t>
            </w:r>
          </w:p>
        </w:tc>
      </w:tr>
      <w:tr w14:paraId="41384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0BF2A5F">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开发工程师</w:t>
            </w:r>
          </w:p>
        </w:tc>
        <w:tc>
          <w:tcPr>
            <w:tcW w:w="2130" w:type="dxa"/>
          </w:tcPr>
          <w:p w14:paraId="390A1AD5">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其他开发工程师</w:t>
            </w:r>
          </w:p>
        </w:tc>
        <w:tc>
          <w:tcPr>
            <w:tcW w:w="2131" w:type="dxa"/>
          </w:tcPr>
          <w:p w14:paraId="5B57B30A">
            <w:pPr>
              <w:pStyle w:val="29"/>
              <w:widowControl w:val="0"/>
              <w:ind w:left="0" w:leftChars="0" w:right="0" w:rightChars="0" w:firstLine="0" w:firstLineChars="0"/>
              <w:jc w:val="both"/>
              <w:rPr>
                <w:rFonts w:hint="eastAsia"/>
                <w:vertAlign w:val="baseline"/>
                <w:lang w:val="en-US" w:eastAsia="zh-CN"/>
              </w:rPr>
            </w:pPr>
          </w:p>
        </w:tc>
        <w:tc>
          <w:tcPr>
            <w:tcW w:w="2131" w:type="dxa"/>
          </w:tcPr>
          <w:p w14:paraId="1613CB79">
            <w:pPr>
              <w:pStyle w:val="29"/>
              <w:widowControl w:val="0"/>
              <w:numPr>
                <w:ilvl w:val="0"/>
                <w:numId w:val="3"/>
              </w:numPr>
              <w:ind w:left="0" w:leftChars="0" w:right="0" w:rightChars="0" w:firstLine="0" w:firstLineChars="0"/>
              <w:jc w:val="both"/>
              <w:rPr>
                <w:rFonts w:hint="eastAsia"/>
                <w:vertAlign w:val="baseline"/>
                <w:lang w:val="en-US" w:eastAsia="zh-CN"/>
              </w:rPr>
            </w:pPr>
            <w:r>
              <w:rPr>
                <w:rFonts w:hint="eastAsia"/>
                <w:vertAlign w:val="baseline"/>
                <w:lang w:val="en-US" w:eastAsia="zh-CN"/>
              </w:rPr>
              <w:t>系统架构文档</w:t>
            </w:r>
          </w:p>
          <w:p w14:paraId="23925FDA">
            <w:pPr>
              <w:pStyle w:val="29"/>
              <w:widowControl w:val="0"/>
              <w:numPr>
                <w:ilvl w:val="0"/>
                <w:numId w:val="3"/>
              </w:numPr>
              <w:ind w:left="0" w:leftChars="0" w:right="0" w:rightChars="0" w:firstLine="0" w:firstLineChars="0"/>
              <w:jc w:val="both"/>
              <w:rPr>
                <w:rFonts w:hint="default"/>
                <w:vertAlign w:val="baseline"/>
                <w:lang w:val="en-US" w:eastAsia="zh-CN"/>
              </w:rPr>
            </w:pPr>
            <w:r>
              <w:rPr>
                <w:rFonts w:hint="eastAsia"/>
                <w:vertAlign w:val="baseline"/>
                <w:lang w:val="en-US" w:eastAsia="zh-CN"/>
              </w:rPr>
              <w:t>代码仓库权限</w:t>
            </w:r>
          </w:p>
        </w:tc>
      </w:tr>
      <w:tr w14:paraId="046F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A5A57C">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采购专员</w:t>
            </w:r>
          </w:p>
        </w:tc>
        <w:tc>
          <w:tcPr>
            <w:tcW w:w="2130" w:type="dxa"/>
          </w:tcPr>
          <w:p w14:paraId="4588268B">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采购部经理</w:t>
            </w:r>
          </w:p>
        </w:tc>
        <w:tc>
          <w:tcPr>
            <w:tcW w:w="2131" w:type="dxa"/>
          </w:tcPr>
          <w:p w14:paraId="6045B119">
            <w:pPr>
              <w:pStyle w:val="29"/>
              <w:widowControl w:val="0"/>
              <w:ind w:left="0" w:leftChars="0" w:right="0" w:rightChars="0" w:firstLine="0" w:firstLineChars="0"/>
              <w:jc w:val="both"/>
              <w:rPr>
                <w:rFonts w:hint="default"/>
                <w:vertAlign w:val="baseline"/>
                <w:lang w:val="en-US" w:eastAsia="zh-CN"/>
              </w:rPr>
            </w:pPr>
            <w:r>
              <w:rPr>
                <w:rFonts w:hint="eastAsia"/>
                <w:vertAlign w:val="baseline"/>
                <w:lang w:val="en-US" w:eastAsia="zh-CN"/>
              </w:rPr>
              <w:t>备品备件管理员</w:t>
            </w:r>
          </w:p>
        </w:tc>
        <w:tc>
          <w:tcPr>
            <w:tcW w:w="2131" w:type="dxa"/>
          </w:tcPr>
          <w:p w14:paraId="70F699E7">
            <w:pPr>
              <w:pStyle w:val="29"/>
              <w:widowControl w:val="0"/>
              <w:numPr>
                <w:ilvl w:val="0"/>
                <w:numId w:val="4"/>
              </w:numPr>
              <w:ind w:left="0" w:leftChars="0" w:right="0" w:rightChars="0" w:firstLine="0" w:firstLineChars="0"/>
              <w:jc w:val="both"/>
              <w:rPr>
                <w:rFonts w:hint="eastAsia"/>
                <w:vertAlign w:val="baseline"/>
                <w:lang w:val="en-US" w:eastAsia="zh-CN"/>
              </w:rPr>
            </w:pPr>
            <w:r>
              <w:rPr>
                <w:rFonts w:hint="eastAsia"/>
                <w:vertAlign w:val="baseline"/>
                <w:lang w:val="en-US" w:eastAsia="zh-CN"/>
              </w:rPr>
              <w:t>供应商联络表</w:t>
            </w:r>
          </w:p>
          <w:p w14:paraId="1D44A167">
            <w:pPr>
              <w:pStyle w:val="29"/>
              <w:widowControl w:val="0"/>
              <w:numPr>
                <w:ilvl w:val="0"/>
                <w:numId w:val="4"/>
              </w:numPr>
              <w:ind w:left="0" w:leftChars="0" w:right="0" w:rightChars="0" w:firstLine="0" w:firstLineChars="0"/>
              <w:jc w:val="both"/>
              <w:rPr>
                <w:rFonts w:hint="default"/>
                <w:vertAlign w:val="baseline"/>
                <w:lang w:val="en-US" w:eastAsia="zh-CN"/>
              </w:rPr>
            </w:pPr>
            <w:r>
              <w:rPr>
                <w:rFonts w:hint="eastAsia"/>
                <w:vertAlign w:val="baseline"/>
                <w:lang w:val="en-US" w:eastAsia="zh-CN"/>
              </w:rPr>
              <w:t>采购清单</w:t>
            </w:r>
          </w:p>
        </w:tc>
      </w:tr>
    </w:tbl>
    <w:p w14:paraId="1A3AC65A">
      <w:pPr>
        <w:pStyle w:val="29"/>
        <w:ind w:left="0" w:leftChars="0" w:right="0" w:rightChars="0" w:firstLine="0" w:firstLineChars="0"/>
        <w:jc w:val="center"/>
        <w:rPr>
          <w:rFonts w:hint="eastAsia"/>
          <w:lang w:val="en-US" w:eastAsia="zh-CN"/>
        </w:rPr>
      </w:pPr>
    </w:p>
    <w:p w14:paraId="51877B57">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bookmark14"/>
      <w:bookmarkEnd w:id="24"/>
      <w:bookmarkStart w:id="25" w:name="_Toc28137"/>
      <w:r>
        <w:rPr>
          <w:rFonts w:hint="eastAsia"/>
          <w:lang w:val="en-US" w:eastAsia="zh-CN"/>
        </w:rPr>
        <w:t>附件</w:t>
      </w:r>
      <w:bookmarkEnd w:id="25"/>
    </w:p>
    <w:p w14:paraId="3E4ADFF4">
      <w:pPr>
        <w:pStyle w:val="29"/>
        <w:rPr>
          <w:rFonts w:hint="default"/>
          <w:lang w:val="en-US" w:eastAsia="zh-CN"/>
        </w:rPr>
      </w:pPr>
      <w:r>
        <w:rPr>
          <w:rFonts w:hint="eastAsia"/>
          <w:lang w:val="en-US" w:eastAsia="zh-CN"/>
        </w:rPr>
        <w:t>无</w:t>
      </w:r>
    </w:p>
    <w:p w14:paraId="563D4E9D">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_Toc13794"/>
      <w:r>
        <w:rPr>
          <w:rFonts w:hint="eastAsia"/>
          <w:lang w:val="en-US" w:eastAsia="zh-CN"/>
        </w:rPr>
        <w:t>记录</w:t>
      </w:r>
      <w:bookmarkEnd w:id="26"/>
    </w:p>
    <w:p w14:paraId="2AD6F847">
      <w:pPr>
        <w:pStyle w:val="29"/>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15E0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6A624D"/>
    <w:multiLevelType w:val="singleLevel"/>
    <w:tmpl w:val="AF6A624D"/>
    <w:lvl w:ilvl="0" w:tentative="0">
      <w:start w:val="1"/>
      <w:numFmt w:val="decimal"/>
      <w:lvlText w:val="%1."/>
      <w:lvlJc w:val="left"/>
      <w:pPr>
        <w:tabs>
          <w:tab w:val="left" w:pos="312"/>
        </w:tabs>
      </w:pPr>
    </w:lvl>
  </w:abstractNum>
  <w:abstractNum w:abstractNumId="2">
    <w:nsid w:val="BA9CD5B4"/>
    <w:multiLevelType w:val="singleLevel"/>
    <w:tmpl w:val="BA9CD5B4"/>
    <w:lvl w:ilvl="0" w:tentative="0">
      <w:start w:val="1"/>
      <w:numFmt w:val="decimal"/>
      <w:lvlText w:val="%1."/>
      <w:lvlJc w:val="left"/>
      <w:pPr>
        <w:tabs>
          <w:tab w:val="left" w:pos="312"/>
        </w:tabs>
      </w:pPr>
    </w:lvl>
  </w:abstractNum>
  <w:abstractNum w:abstractNumId="3">
    <w:nsid w:val="3538D2FA"/>
    <w:multiLevelType w:val="singleLevel"/>
    <w:tmpl w:val="3538D2FA"/>
    <w:lvl w:ilvl="0" w:tentative="0">
      <w:start w:val="1"/>
      <w:numFmt w:val="decimal"/>
      <w:lvlText w:val="%1."/>
      <w:lvlJc w:val="left"/>
      <w:pPr>
        <w:tabs>
          <w:tab w:val="left" w:pos="312"/>
        </w:tabs>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19312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1655</Words>
  <Characters>1878</Characters>
  <Lines>0</Lines>
  <Paragraphs>0</Paragraphs>
  <TotalTime>0</TotalTime>
  <ScaleCrop>false</ScaleCrop>
  <LinksUpToDate>false</LinksUpToDate>
  <CharactersWithSpaces>2000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2026-01-16T19:10:45Z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