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6FE00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64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54696B5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1305"/>
      <w:r>
        <w:rPr>
          <w:rFonts w:hint="eastAsia"/>
          <w:lang w:val="en-US" w:eastAsia="zh-CN"/>
        </w:rPr>
        <w:t>过程框架管理制度</w:t>
      </w:r>
      <w:bookmarkEnd w:id="1"/>
    </w:p>
    <w:p w14:paraId="1221526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4E184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E7BB7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CED0D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679B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A18BD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41E59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A67B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DBCFD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475851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0E642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4B37B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  <w:bookmarkStart w:id="2" w:name="_GoBack"/>
            <w:bookmarkEnd w:id="2"/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1184DF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216692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46E78B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_Toc16647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09EAD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过程框架管理制度</w:t>
          </w:r>
          <w:r>
            <w:tab/>
          </w:r>
          <w:r>
            <w:fldChar w:fldCharType="begin"/>
          </w:r>
          <w:r>
            <w:instrText xml:space="preserve"> PAGEREF _Toc21305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249C3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_Toc30055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E531E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_Toc25343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6E7187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_Toc17027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A5CA5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_Toc32003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99655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rPr>
              <w:rFonts w:hint="eastAsia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_Toc3213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3B6E15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1.4.1. </w:t>
          </w:r>
          <w:r>
            <w:rPr>
              <w:rFonts w:hint="eastAsia"/>
            </w:rPr>
            <w:t>数智运营部</w:t>
          </w:r>
          <w:r>
            <w:tab/>
          </w:r>
          <w:r>
            <w:fldChar w:fldCharType="begin"/>
          </w:r>
          <w:r>
            <w:instrText xml:space="preserve"> PAGEREF _Toc576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D49F01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1.4.2. </w:t>
          </w:r>
          <w:r>
            <w:rPr>
              <w:rFonts w:hint="eastAsia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_Toc20446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CB6F1D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1.4.3. </w:t>
          </w:r>
          <w:r>
            <w:rPr>
              <w:rFonts w:hint="eastAsia"/>
              <w:lang w:val="en-US" w:eastAsia="zh-CN"/>
            </w:rPr>
            <w:t>其他运维相关</w:t>
          </w:r>
          <w:r>
            <w:rPr>
              <w:rFonts w:hint="eastAsia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_Toc18385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9728F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1.4.4. </w:t>
          </w:r>
          <w:r>
            <w:rPr>
              <w:rFonts w:hint="eastAsia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_Toc14018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FF6B6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_Toc14848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0D5EE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_Toc708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8FB12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过程框架</w:t>
          </w:r>
          <w:r>
            <w:tab/>
          </w:r>
          <w:r>
            <w:fldChar w:fldCharType="begin"/>
          </w:r>
          <w:r>
            <w:instrText xml:space="preserve"> PAGEREF _Toc10480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77441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过程资产库</w:t>
          </w:r>
          <w:r>
            <w:tab/>
          </w:r>
          <w:r>
            <w:fldChar w:fldCharType="begin"/>
          </w:r>
          <w:r>
            <w:instrText xml:space="preserve"> PAGEREF _Toc3380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E3275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过程KPI（关键绩效指标）</w:t>
          </w:r>
          <w:r>
            <w:tab/>
          </w:r>
          <w:r>
            <w:fldChar w:fldCharType="begin"/>
          </w:r>
          <w:r>
            <w:instrText xml:space="preserve"> PAGEREF _Toc4993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05BE60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9BA9B4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</w:rPr>
            <w:t>过程框架的构成</w:t>
          </w:r>
          <w:r>
            <w:tab/>
          </w:r>
          <w:r>
            <w:fldChar w:fldCharType="begin"/>
          </w:r>
          <w:r>
            <w:instrText xml:space="preserve"> PAGEREF _Toc10842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B9FB9D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4.1.1. </w:t>
          </w:r>
          <w:r>
            <w:rPr>
              <w:rFonts w:hint="eastAsia"/>
            </w:rPr>
            <w:t>战略与治理过程</w:t>
          </w:r>
          <w:r>
            <w:tab/>
          </w:r>
          <w:r>
            <w:fldChar w:fldCharType="begin"/>
          </w:r>
          <w:r>
            <w:instrText xml:space="preserve"> PAGEREF _Toc16383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1EEA22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4.1.2. </w:t>
          </w:r>
          <w:r>
            <w:rPr>
              <w:rFonts w:hint="eastAsia"/>
            </w:rPr>
            <w:t>核心交付与运营过程</w:t>
          </w:r>
          <w:r>
            <w:tab/>
          </w:r>
          <w:r>
            <w:fldChar w:fldCharType="begin"/>
          </w:r>
          <w:r>
            <w:instrText xml:space="preserve"> PAGEREF _Toc21569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6FE7E1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4.1.3. </w:t>
          </w:r>
          <w:r>
            <w:rPr>
              <w:rFonts w:hint="eastAsia"/>
            </w:rPr>
            <w:t>支持保障过程</w:t>
          </w:r>
          <w:r>
            <w:tab/>
          </w:r>
          <w:r>
            <w:fldChar w:fldCharType="begin"/>
          </w:r>
          <w:r>
            <w:instrText xml:space="preserve"> PAGEREF _Toc14490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9303C3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4.1.4. </w:t>
          </w:r>
          <w:r>
            <w:rPr>
              <w:rFonts w:hint="eastAsia"/>
            </w:rPr>
            <w:t>测量与改进过程</w:t>
          </w:r>
          <w:r>
            <w:tab/>
          </w:r>
          <w:r>
            <w:fldChar w:fldCharType="begin"/>
          </w:r>
          <w:r>
            <w:instrText xml:space="preserve"> PAGEREF _Toc1571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06EB7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</w:rPr>
            <w:t>过程间关系与接口管理</w:t>
          </w:r>
          <w:r>
            <w:tab/>
          </w:r>
          <w:r>
            <w:fldChar w:fldCharType="begin"/>
          </w:r>
          <w:r>
            <w:instrText xml:space="preserve"> PAGEREF _Toc21502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0E857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4.2.1. </w:t>
          </w:r>
          <w:r>
            <w:rPr>
              <w:rFonts w:hint="eastAsia"/>
            </w:rPr>
            <w:t>过程交互机制</w:t>
          </w:r>
          <w:r>
            <w:tab/>
          </w:r>
          <w:r>
            <w:fldChar w:fldCharType="begin"/>
          </w:r>
          <w:r>
            <w:instrText xml:space="preserve"> PAGEREF _Toc5246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637C85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4.2.2. </w:t>
          </w:r>
          <w:r>
            <w:rPr>
              <w:rFonts w:hint="eastAsia"/>
            </w:rPr>
            <w:t>跨部门协作机制</w:t>
          </w:r>
          <w:r>
            <w:tab/>
          </w:r>
          <w:r>
            <w:fldChar w:fldCharType="begin"/>
          </w:r>
          <w:r>
            <w:instrText xml:space="preserve"> PAGEREF _Toc11382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37663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</w:rPr>
            <w:t>过程的建立与变更</w:t>
          </w:r>
          <w:r>
            <w:tab/>
          </w:r>
          <w:r>
            <w:fldChar w:fldCharType="begin"/>
          </w:r>
          <w:r>
            <w:instrText xml:space="preserve"> PAGEREF _Toc4371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8C320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rPr>
              <w:rFonts w:hint="eastAsia"/>
            </w:rPr>
            <w:t>新过程建立流程</w:t>
          </w:r>
          <w:r>
            <w:tab/>
          </w:r>
          <w:r>
            <w:fldChar w:fldCharType="begin"/>
          </w:r>
          <w:r>
            <w:instrText xml:space="preserve"> PAGEREF _Toc29408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799F46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rPr>
              <w:rFonts w:hint="eastAsia"/>
            </w:rPr>
            <w:t>过程变更管理</w:t>
          </w:r>
          <w:r>
            <w:tab/>
          </w:r>
          <w:r>
            <w:fldChar w:fldCharType="begin"/>
          </w:r>
          <w:r>
            <w:instrText xml:space="preserve"> PAGEREF _Toc7930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1E5A2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</w:rPr>
            <w:t>过程的评审与改进</w:t>
          </w:r>
          <w:r>
            <w:tab/>
          </w:r>
          <w:r>
            <w:fldChar w:fldCharType="begin"/>
          </w:r>
          <w:r>
            <w:instrText xml:space="preserve"> PAGEREF _Toc25820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D2F81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4.4.1. </w:t>
          </w:r>
          <w:r>
            <w:rPr>
              <w:rFonts w:hint="eastAsia"/>
            </w:rPr>
            <w:t>过程执行要求</w:t>
          </w:r>
          <w:r>
            <w:tab/>
          </w:r>
          <w:r>
            <w:fldChar w:fldCharType="begin"/>
          </w:r>
          <w:r>
            <w:instrText xml:space="preserve"> PAGEREF _Toc14485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1C4D07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4.4.2. </w:t>
          </w:r>
          <w:r>
            <w:rPr>
              <w:rFonts w:hint="eastAsia"/>
            </w:rPr>
            <w:t>过程监督机制</w:t>
          </w:r>
          <w:r>
            <w:tab/>
          </w:r>
          <w:r>
            <w:fldChar w:fldCharType="begin"/>
          </w:r>
          <w:r>
            <w:instrText xml:space="preserve"> PAGEREF _Toc382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95B49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</w:rPr>
            <w:t>过程的监控与测量</w:t>
          </w:r>
          <w:r>
            <w:tab/>
          </w:r>
          <w:r>
            <w:fldChar w:fldCharType="begin"/>
          </w:r>
          <w:r>
            <w:instrText xml:space="preserve"> PAGEREF _Toc32252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8AD98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_Toc22661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9363A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_Toc6095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17395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_Toc28779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E1278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DC869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759B40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总则</w:t>
      </w:r>
    </w:p>
    <w:p w14:paraId="1E425EA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6FF52B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立并统一公司软件运维服务的整体管理逻辑与结构，明确各管理过程的目标、范围、相互关系及协同机制，构建一套系统化、标准化、可测量且持续改进的运维服务过程管理体系，以确保公司运维服务能力稳定、高效、合规，并有效支撑业务战略与客户服务目标的实现，特制定本框架制度。</w:t>
      </w:r>
    </w:p>
    <w:p w14:paraId="3553CB9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731FB0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是公司运维服务管理体系的顶层设计与根本性文件，适用于所有参与运维服务活动的部门（数智运营部、研究总院、质量管理部、人力部、应急管理部等）及人员。本框架下各具体过程的管理要求，以相应的二级程序文件（即各专项管理制度）为准。</w:t>
      </w:r>
    </w:p>
    <w:p w14:paraId="0255D56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框架原则</w:t>
      </w:r>
    </w:p>
    <w:p w14:paraId="1EC23B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战略导向原则：过程框架的设计与运作必须紧密对齐公司业务战略与客户服务承诺。</w:t>
      </w:r>
    </w:p>
    <w:p w14:paraId="50EB86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过程方法原则：采用过程方法管理相互关联的活动和资源，追求整体效能最优。</w:t>
      </w:r>
    </w:p>
    <w:p w14:paraId="294560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集成协同原则：确保各过程边界清晰、接口明确、信息流畅、协同高效。</w:t>
      </w:r>
    </w:p>
    <w:p w14:paraId="1C1E4C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价值创造原则：每个过程都应对服务交付的质量、效率或成本产生明确的增值贡献。</w:t>
      </w:r>
    </w:p>
    <w:p w14:paraId="741C15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持续改进原则：基于数据驱动，通过监控、测量和评审，推动过程及框架的持续优化。</w:t>
      </w:r>
    </w:p>
    <w:p w14:paraId="6992BB1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过程框架构成</w:t>
      </w:r>
    </w:p>
    <w:p w14:paraId="18D04D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过程框架总览</w:t>
      </w:r>
    </w:p>
    <w:p w14:paraId="0B3855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本公司运维服务过程框架以“战略与治理”为引领，以“核心交付与运营”为主线，以“支持保障”为基础，以“测量与改进”为闭环，构成一个有机统一的整体。框架结构如下图所示</w:t>
      </w:r>
    </w:p>
    <w:p w14:paraId="749CBA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1861820"/>
            <wp:effectExtent l="0" t="0" r="1905" b="1270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6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6E24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过程组及核心过程定义</w:t>
      </w:r>
    </w:p>
    <w:p w14:paraId="6AAF93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本框架包含以下四个过程组，每个过程组下设若干核心管理过程：</w:t>
      </w:r>
    </w:p>
    <w:p w14:paraId="1D0057F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战略与治理过程组</w:t>
      </w:r>
    </w:p>
    <w:p w14:paraId="087DA4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定位：确定运维服务的方向、目标、规则与整体风险控制。</w:t>
      </w:r>
    </w:p>
    <w:p w14:paraId="263B04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核心过程：</w:t>
      </w:r>
    </w:p>
    <w:p w14:paraId="59AE35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服务级别管理：定义、协商、监控并评审服务目标。</w:t>
      </w:r>
    </w:p>
    <w:p w14:paraId="477E1C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服务报告管理：编制并发布服务绩效报告，支持透明沟通与管理决策。</w:t>
      </w:r>
    </w:p>
    <w:p w14:paraId="7268B7C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核心交付与运营过程组</w:t>
      </w:r>
    </w:p>
    <w:p w14:paraId="7DBB48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定位：直接面向客户，处理日常服务请求与异常，保障服务稳定运行。</w:t>
      </w:r>
    </w:p>
    <w:p w14:paraId="25D355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核心过程（遵循“事-问-改-发”逻辑链）：</w:t>
      </w:r>
    </w:p>
    <w:p w14:paraId="6B1AE1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事件管理：快速恢复中断的服务。</w:t>
      </w:r>
    </w:p>
    <w:p w14:paraId="0FB849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问题管理：查找并消除导致事件的根源。</w:t>
      </w:r>
    </w:p>
    <w:p w14:paraId="5664D6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变更管理：以受控方式实施所有修改。</w:t>
      </w:r>
    </w:p>
    <w:p w14:paraId="082024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发布管理：受控地将软件版本部署至生产环境。</w:t>
      </w:r>
    </w:p>
    <w:p w14:paraId="044B20E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支持保障过程组</w:t>
      </w:r>
    </w:p>
    <w:p w14:paraId="505662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定位：为核心交付过程提供必需的资源、信息、技术与安全基础。</w:t>
      </w:r>
    </w:p>
    <w:p w14:paraId="654D6C9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核心过程：</w:t>
      </w:r>
    </w:p>
    <w:p w14:paraId="35B42E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配置管理：维护服务组件资产信息及其关系的单一可信源。</w:t>
      </w:r>
    </w:p>
    <w:p w14:paraId="1A266E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容量管理：确保当前及未来有足够的资源满足性能需求。</w:t>
      </w:r>
    </w:p>
    <w:p w14:paraId="26F0C5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服务可用性和连续性管理：保障服务达到约定的可用性水平，并在中断后能有效恢复。</w:t>
      </w:r>
    </w:p>
    <w:p w14:paraId="738748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信息安全管理：保护信息的保密性、完整性和可用性。</w:t>
      </w:r>
    </w:p>
    <w:p w14:paraId="2E6FC3C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测量与改进过程组</w:t>
      </w:r>
    </w:p>
    <w:p w14:paraId="23DBE1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定位：评估体系有效性，驱动基于事实的持续改进。</w:t>
      </w:r>
    </w:p>
    <w:p w14:paraId="77C1C3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活动：本组活动不单独设立制度，而是嵌入于所有过程中，并通过质量管理部的独立监督、内部审核及由管理层主持的管理评审会议来实现。其核心是依据各过程产生的数据（如SLA达成率、事件解决时长、变更成功率、容量预警数、安全事件数等）进行评价并发起改进。</w:t>
      </w:r>
    </w:p>
    <w:p w14:paraId="5833F08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过程间关系与协同机制</w:t>
      </w:r>
    </w:p>
    <w:p w14:paraId="045A743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关键过程交互关系</w:t>
      </w:r>
    </w:p>
    <w:p w14:paraId="685A7B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各过程并非孤立运作，而是通过紧密的接口进行协同，关键交互示例如下：</w:t>
      </w:r>
    </w:p>
    <w:p w14:paraId="2523A0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事件管理与问题管理：重大或重复发生的事件应触发问题管理流程，以进行根因分析。</w:t>
      </w:r>
    </w:p>
    <w:p w14:paraId="7F2EE0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问题/容量/安全管理与变更管理：诊断出的根本解决方案、扩容需求、安全加固措施必须通过变更管理流程受控实施。</w:t>
      </w:r>
    </w:p>
    <w:p w14:paraId="4352DC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变更/发布管理与配置管理：任何变更或发布实施后，必须及时更新配置管理数据库（CMDB），确保信息准确性。</w:t>
      </w:r>
    </w:p>
    <w:p w14:paraId="40FEA8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服务级别管理与所有过程：SLA中定义的目标是事件响应、可用性监控、容量规划等多个过程的共同绩效基准。</w:t>
      </w:r>
    </w:p>
    <w:p w14:paraId="6CB80A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配置管理与事件/问题/变更管理：准确的配置项信息及其关系图，是进行故障快速定位、影响分析和制定恢复/变更方案的基础。</w:t>
      </w:r>
    </w:p>
    <w:p w14:paraId="547ACAF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信息流与数据共享要求</w:t>
      </w:r>
    </w:p>
    <w:p w14:paraId="10D3F0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统一的运维管理平台是各过程信息流转与共享的核心载体。CMDB是所有技术资产信息的权威来源。各过程必须按规定在平台中记录关键活动、决策与结果数据，确保信息的可追溯性、一致性和可分析性，为管理决策提供数据支撑。</w:t>
      </w:r>
    </w:p>
    <w:p w14:paraId="77F6609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跨部门协同职责</w:t>
      </w:r>
    </w:p>
    <w:p w14:paraId="1116BB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数智运营部：是大部分核心运营及支持保障过程的执行主体与流程所有者。</w:t>
      </w:r>
    </w:p>
    <w:p w14:paraId="5DE097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研究总院：是变更、发布、问题管理（技术根因分析）、容量与可用性（架构优化）的关键技术支持方。</w:t>
      </w:r>
    </w:p>
    <w:p w14:paraId="7FF687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质量管理部：是所有过程的独立监督者、测量者与合规性审计方。</w:t>
      </w:r>
    </w:p>
    <w:p w14:paraId="482645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应急管理部：主导服务连续性管理的战略制定与重大应急协调。</w:t>
      </w:r>
    </w:p>
    <w:p w14:paraId="1008AA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人力部：负责确保人员能力与过程要求相匹配（如培训、意识教育）。</w:t>
      </w:r>
    </w:p>
    <w:p w14:paraId="3820FD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过程的治理与生命周期管理</w:t>
      </w:r>
    </w:p>
    <w:p w14:paraId="2D92FFC0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过程的建立与审批</w:t>
      </w:r>
    </w:p>
    <w:p w14:paraId="1461EA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新过程的建立，需由主责部门提出业务案例，经质量管理部组织跨部门评审其必要性、与现有框架的兼容性及资源影响，报公司管理层批准后，方可编制具体制度并纳入本框架。</w:t>
      </w:r>
    </w:p>
    <w:p w14:paraId="5F933423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过程的变更与优化</w:t>
      </w:r>
    </w:p>
    <w:p w14:paraId="629859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对已有过程的任何实质性变更（如关键活动、角色职责、主要模板的修改），须遵循《变更管理制度》，由过程所有者提交变更请求，经质量管理部评估对整体框架的影响后实施。</w:t>
      </w:r>
    </w:p>
    <w:p w14:paraId="0F20D0DB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过程的废止</w:t>
      </w:r>
    </w:p>
    <w:p w14:paraId="63C47C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当某个过程因业务调整或体系优化不再需要时，由过程所有者提出废止申请，经质量管理部审核并确保其职责可由其他过程承接后，报管理层批准废止。</w:t>
      </w:r>
    </w:p>
    <w:p w14:paraId="1F9B3A4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过程的监督、测量与评审</w:t>
      </w:r>
    </w:p>
    <w:p w14:paraId="2CC9E097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过程执行监督</w:t>
      </w:r>
    </w:p>
    <w:p w14:paraId="77718B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质量管理部负责通过日常检查、记录抽查及平台数据监控等方式，监督各过程是否按照既定制度执行。</w:t>
      </w:r>
    </w:p>
    <w:p w14:paraId="75FF5E2E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过程绩效测量</w:t>
      </w:r>
    </w:p>
    <w:p w14:paraId="6A424B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各具体过程制度中需定义关键绩效指标。质量管理部负责汇总、分析这些指标，形成体系绩效视图，用于评估框架的有效性。</w:t>
      </w:r>
    </w:p>
    <w:p w14:paraId="35ECBEA2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管理评审与持续改进</w:t>
      </w:r>
    </w:p>
    <w:p w14:paraId="0DD143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管理层应至少每年主持一次服务过程管理评审会议，基于质量报告、审计结果、客户反馈、绩效数据及战略变化，评估本过程框架的持续适宜性、充分性和有效性。会议输出必须包括关于过程、框架及资源需求的改进决策和行动项，从而关闭“测量与改进”的循环。</w:t>
      </w:r>
    </w:p>
    <w:p w14:paraId="1043215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</w:p>
    <w:p w14:paraId="52AFA6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本制度由质量管理部负责解释、维护与修订。</w:t>
      </w:r>
    </w:p>
    <w:p w14:paraId="4C0795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本制度自发布之日起生效，原分散的相关框架性描述同时废止。</w:t>
      </w:r>
    </w:p>
    <w:p w14:paraId="31BA31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本框架下所有具体过程的管理制度均为本制度的支撑性文件，共同构成公司完整的运维服务过程管理体系。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E48FB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B9D139C"/>
    <w:rsid w:val="1F4541CC"/>
    <w:rsid w:val="2099444D"/>
    <w:rsid w:val="374A0346"/>
    <w:rsid w:val="406F733A"/>
    <w:rsid w:val="408D6263"/>
    <w:rsid w:val="4F133DD7"/>
    <w:rsid w:val="63095B45"/>
    <w:rsid w:val="6AA716B4"/>
    <w:rsid w:val="6CD02EB0"/>
    <w:rsid w:val="7671125F"/>
    <w:rsid w:val="7E1C5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958</Words>
  <Characters>1133</Characters>
  <Lines>0</Lines>
  <Paragraphs>0</Paragraphs>
  <TotalTime>0</TotalTime>
  <ScaleCrop>false</ScaleCrop>
  <LinksUpToDate>false</LinksUpToDate>
  <CharactersWithSpaces>1201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2026-01-16T19:14:07Z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