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F5869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093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1412D4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4750"/>
      <w:r>
        <w:rPr>
          <w:rFonts w:hint="eastAsia"/>
          <w:lang w:val="en-US" w:eastAsia="zh-CN"/>
        </w:rPr>
        <w:t>运维服务技术研发规划</w:t>
      </w:r>
      <w:bookmarkEnd w:id="1"/>
    </w:p>
    <w:p w14:paraId="415A66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9D3FE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270A2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2708" w:type="dxa"/>
          </w:tcPr>
          <w:p w14:paraId="5AB677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828D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8FDA7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06FCA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2D1D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3B440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BC515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58E0F9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DCBB8A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熊发云</w:t>
            </w:r>
            <w:bookmarkStart w:id="13" w:name="_GoBack"/>
            <w:bookmarkEnd w:id="13"/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D4CE6E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D53B73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E0796E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_Toc20938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DB1D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运维服务技术研发规划</w:t>
          </w:r>
          <w:r>
            <w:tab/>
          </w:r>
          <w:r>
            <w:fldChar w:fldCharType="begin"/>
          </w:r>
          <w:r>
            <w:instrText xml:space="preserve"> PAGEREF _Toc4750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F2C0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_Toc27868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05928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总体规划</w:t>
          </w:r>
          <w:r>
            <w:tab/>
          </w:r>
          <w:r>
            <w:fldChar w:fldCharType="begin"/>
          </w:r>
          <w:r>
            <w:instrText xml:space="preserve"> PAGEREF _Toc32079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C831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禅道过程管理工具项目</w:t>
          </w:r>
          <w:r>
            <w:rPr>
              <w:rFonts w:hint="eastAsia"/>
              <w:lang w:val="en-US" w:eastAsia="zh-CN"/>
            </w:rPr>
            <w:t>二次开发</w:t>
          </w:r>
          <w:r>
            <w:tab/>
          </w:r>
          <w:r>
            <w:fldChar w:fldCharType="begin"/>
          </w:r>
          <w:r>
            <w:instrText xml:space="preserve"> PAGEREF _Toc20046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51E8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研发目标</w:t>
          </w:r>
          <w:r>
            <w:tab/>
          </w:r>
          <w:r>
            <w:fldChar w:fldCharType="begin"/>
          </w:r>
          <w:r>
            <w:instrText xml:space="preserve"> PAGEREF _Toc29434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FC76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研发团队</w:t>
          </w:r>
          <w:r>
            <w:tab/>
          </w:r>
          <w:r>
            <w:fldChar w:fldCharType="begin"/>
          </w:r>
          <w:r>
            <w:instrText xml:space="preserve"> PAGEREF _Toc8687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D0D89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研发</w:t>
          </w:r>
          <w:r>
            <w:rPr>
              <w:rFonts w:hint="eastAsia"/>
              <w:lang w:val="en-US" w:eastAsia="zh-CN"/>
            </w:rPr>
            <w:t>环境</w:t>
          </w:r>
          <w:r>
            <w:tab/>
          </w:r>
          <w:r>
            <w:fldChar w:fldCharType="begin"/>
          </w:r>
          <w:r>
            <w:instrText xml:space="preserve"> PAGEREF _Toc21081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F94F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研发</w:t>
          </w:r>
          <w:r>
            <w:rPr>
              <w:rFonts w:hint="eastAsia"/>
              <w:lang w:val="en-US" w:eastAsia="zh-CN"/>
            </w:rPr>
            <w:t>进度</w:t>
          </w:r>
          <w:r>
            <w:tab/>
          </w:r>
          <w:r>
            <w:fldChar w:fldCharType="begin"/>
          </w:r>
          <w:r>
            <w:instrText xml:space="preserve"> PAGEREF _Toc3243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04C0B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运维服务手册研发</w:t>
          </w:r>
          <w:r>
            <w:tab/>
          </w:r>
          <w:r>
            <w:fldChar w:fldCharType="begin"/>
          </w:r>
          <w:r>
            <w:instrText xml:space="preserve"> PAGEREF _Toc12464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BBB88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研发经费</w:t>
          </w:r>
          <w:r>
            <w:tab/>
          </w:r>
          <w:r>
            <w:fldChar w:fldCharType="begin"/>
          </w:r>
          <w:r>
            <w:instrText xml:space="preserve"> PAGEREF _Toc27297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DE0F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_Toc11776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34C9E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21F39C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8120143">
      <w:pPr>
        <w:pStyle w:val="28"/>
        <w:bidi w:val="0"/>
        <w:rPr>
          <w:rFonts w:hint="default"/>
          <w:lang w:val="en-US" w:eastAsia="zh-CN"/>
        </w:rPr>
      </w:pPr>
      <w:bookmarkStart w:id="2" w:name="_Toc27868"/>
      <w:r>
        <w:rPr>
          <w:rFonts w:hint="default"/>
          <w:lang w:val="en-US" w:eastAsia="zh-CN"/>
        </w:rPr>
        <w:t>概述</w:t>
      </w:r>
      <w:bookmarkEnd w:id="2"/>
    </w:p>
    <w:p w14:paraId="783ED46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支撑本公司运维服务能力成熟度（ITSS三级）的认证与持续提升，特制定本研发规划。本项目旨在通过研发与部署禅道过程管理工具，构建一个统一、标准化的运维服务过程管理平台，实现对公司《运维服务过程框架管理制度》的线上化、精细化落地。</w:t>
      </w:r>
    </w:p>
    <w:p w14:paraId="65E6BAC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本规划的读者对象为：公司管理层、数智运营部、研究总院、质量管理部、人力部、采购部及项目组全体成员。</w:t>
      </w:r>
    </w:p>
    <w:p w14:paraId="4CF37461">
      <w:pPr>
        <w:pStyle w:val="28"/>
        <w:bidi w:val="0"/>
        <w:rPr>
          <w:rFonts w:hint="default"/>
          <w:lang w:val="en-US" w:eastAsia="zh-CN"/>
        </w:rPr>
      </w:pPr>
      <w:bookmarkStart w:id="3" w:name="_Toc32079"/>
      <w:r>
        <w:rPr>
          <w:rFonts w:hint="default"/>
          <w:lang w:val="en-US" w:eastAsia="zh-CN"/>
        </w:rPr>
        <w:t>总体规划</w:t>
      </w:r>
      <w:bookmarkEnd w:id="3"/>
    </w:p>
    <w:p w14:paraId="645E9D1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基于开源禅道平台，进行以工作流引擎定制为核心的二次开发。规划通过配置与开发，在禅道中构建与公司制度完全匹配的运维过程模型，实现任务状态、流转规则、角色权限的精细控制，打通跨部门协同壁垒，形成覆盖服务全生命周期的线上管理闭环。</w:t>
      </w:r>
    </w:p>
    <w:p w14:paraId="32BD8CE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同时，为固化运维服务标准、促进知识传承并满足ITSS体系文件要求，本项目将同步启动</w:t>
      </w:r>
      <w:r>
        <w:rPr>
          <w:rFonts w:hint="eastAsia"/>
          <w:lang w:val="en-US" w:eastAsia="zh-CN"/>
        </w:rPr>
        <w:t>运维手册</w:t>
      </w:r>
      <w:r>
        <w:rPr>
          <w:rFonts w:hint="default"/>
          <w:lang w:val="en-US" w:eastAsia="zh-CN"/>
        </w:rPr>
        <w:t>的编撰工作。该手册将与禅道系统中的线上流程互为支撑，共同构成公司运维服务管理的核心资产。</w:t>
      </w:r>
    </w:p>
    <w:p w14:paraId="4B26DFE1">
      <w:pPr>
        <w:pStyle w:val="28"/>
        <w:bidi w:val="0"/>
        <w:rPr>
          <w:rFonts w:hint="default"/>
          <w:lang w:val="en-US" w:eastAsia="zh-CN"/>
        </w:rPr>
      </w:pPr>
      <w:bookmarkStart w:id="4" w:name="_Toc20046"/>
      <w:r>
        <w:rPr>
          <w:rFonts w:hint="default"/>
          <w:lang w:val="en-US" w:eastAsia="zh-CN"/>
        </w:rPr>
        <w:t>禅道过程管理工具项目</w:t>
      </w:r>
      <w:r>
        <w:rPr>
          <w:rFonts w:hint="eastAsia"/>
          <w:lang w:val="en-US" w:eastAsia="zh-CN"/>
        </w:rPr>
        <w:t>二次开发</w:t>
      </w:r>
      <w:bookmarkEnd w:id="4"/>
    </w:p>
    <w:p w14:paraId="4BA808CF">
      <w:pPr>
        <w:pStyle w:val="30"/>
        <w:bidi w:val="0"/>
        <w:rPr>
          <w:rFonts w:hint="default"/>
          <w:lang w:val="en-US" w:eastAsia="zh-CN"/>
        </w:rPr>
      </w:pPr>
      <w:bookmarkStart w:id="5" w:name="_Toc29434"/>
      <w:r>
        <w:rPr>
          <w:rFonts w:hint="default"/>
          <w:lang w:val="en-US" w:eastAsia="zh-CN"/>
        </w:rPr>
        <w:t>研发目标</w:t>
      </w:r>
      <w:bookmarkEnd w:id="5"/>
    </w:p>
    <w:p w14:paraId="223C4DB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解决现有审批流程线下执行不透明、环节易遗漏、权责不清晰、效率低下且记录难以追溯的痛点。通过本次审批流定制，实现：</w:t>
      </w:r>
    </w:p>
    <w:p w14:paraId="23531FC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审批路径强制固化：将ITSS体系及公司管理制度所要求的关键审批流程（如变更审批、资源申请、预算批复等）在系统中进行唯一路径固化，确保任何操作都必须经过规定的审批环节，杜绝越权与违规。</w:t>
      </w:r>
    </w:p>
    <w:p w14:paraId="56EEEB1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流转条件自动驱动：配置基于业务规则的自动流转逻辑，实现任务在提交、驳回、转审等操作后，自动跳转至下一审批节点并通知对应审批人，大幅缩短等待时间。</w:t>
      </w:r>
    </w:p>
    <w:p w14:paraId="6B43E56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审批权限精细管控：根据不同审批流程与环节，精确控制审批人角色的视图、操作与决策权限（如查看、通过、驳回、加签），确保权责对等与信息安全。</w:t>
      </w:r>
    </w:p>
    <w:p w14:paraId="606E162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审批数据完整记录：为每一次审批提供不可篡改的全过程记录，包括审批人、时间、意见与结论，为服务审计、合规检查与效能分析提供真实、可信的数据基础。</w:t>
      </w:r>
    </w:p>
    <w:p w14:paraId="0D016EFA">
      <w:pPr>
        <w:pStyle w:val="30"/>
        <w:bidi w:val="0"/>
        <w:rPr>
          <w:rFonts w:hint="default"/>
          <w:lang w:val="en-US" w:eastAsia="zh-CN"/>
        </w:rPr>
      </w:pPr>
      <w:bookmarkStart w:id="6" w:name="_Toc8687"/>
      <w:r>
        <w:rPr>
          <w:rFonts w:hint="default"/>
          <w:lang w:val="en-US" w:eastAsia="zh-CN"/>
        </w:rPr>
        <w:t>研发团队</w:t>
      </w:r>
      <w:bookmarkEnd w:id="6"/>
    </w:p>
    <w:p w14:paraId="562E6EE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根据公司发展需要，运维工具研发团队人员配置信息如表3-1所示</w:t>
      </w:r>
    </w:p>
    <w:p w14:paraId="446B1176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人员配置表</w:t>
      </w:r>
    </w:p>
    <w:tbl>
      <w:tblPr>
        <w:tblStyle w:val="21"/>
        <w:tblW w:w="86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0"/>
        <w:gridCol w:w="1675"/>
        <w:gridCol w:w="5280"/>
      </w:tblGrid>
      <w:tr w14:paraId="0B4F9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7B5DE67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职位名称</w:t>
            </w:r>
          </w:p>
        </w:tc>
        <w:tc>
          <w:tcPr>
            <w:tcW w:w="1675" w:type="dxa"/>
          </w:tcPr>
          <w:p w14:paraId="40F8048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所属部门</w:t>
            </w:r>
          </w:p>
        </w:tc>
        <w:tc>
          <w:tcPr>
            <w:tcW w:w="5280" w:type="dxa"/>
          </w:tcPr>
          <w:p w14:paraId="2ABE8383">
            <w:pPr>
              <w:pStyle w:val="29"/>
              <w:widowControl w:val="0"/>
              <w:ind w:right="0" w:right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职责描述</w:t>
            </w:r>
          </w:p>
        </w:tc>
      </w:tr>
      <w:tr w14:paraId="66C19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16C1C06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研究总院经理</w:t>
            </w:r>
          </w:p>
        </w:tc>
        <w:tc>
          <w:tcPr>
            <w:tcW w:w="1675" w:type="dxa"/>
          </w:tcPr>
          <w:p w14:paraId="3FD6336B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5280" w:type="dxa"/>
          </w:tcPr>
          <w:p w14:paraId="0DD5A56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总体规划研发进度</w:t>
            </w:r>
          </w:p>
        </w:tc>
      </w:tr>
      <w:tr w14:paraId="7ADE5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1A8FBF9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开发工程师</w:t>
            </w:r>
          </w:p>
        </w:tc>
        <w:tc>
          <w:tcPr>
            <w:tcW w:w="1675" w:type="dxa"/>
          </w:tcPr>
          <w:p w14:paraId="3469D71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5280" w:type="dxa"/>
          </w:tcPr>
          <w:p w14:paraId="76AB382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编码、单元测试</w:t>
            </w:r>
          </w:p>
        </w:tc>
      </w:tr>
      <w:tr w14:paraId="3820E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4D24119D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675" w:type="dxa"/>
          </w:tcPr>
          <w:p w14:paraId="41F7257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5280" w:type="dxa"/>
          </w:tcPr>
          <w:p w14:paraId="27346C5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总体规划项目进度</w:t>
            </w:r>
          </w:p>
        </w:tc>
      </w:tr>
      <w:tr w14:paraId="7444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1587F6DE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675" w:type="dxa"/>
          </w:tcPr>
          <w:p w14:paraId="3F44C20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5280" w:type="dxa"/>
          </w:tcPr>
          <w:p w14:paraId="3F8ADF2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跟进研发质量</w:t>
            </w:r>
          </w:p>
        </w:tc>
      </w:tr>
      <w:tr w14:paraId="474B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2EAFEA2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需求分析师</w:t>
            </w:r>
          </w:p>
        </w:tc>
        <w:tc>
          <w:tcPr>
            <w:tcW w:w="1675" w:type="dxa"/>
          </w:tcPr>
          <w:p w14:paraId="445F96CF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5280" w:type="dxa"/>
          </w:tcPr>
          <w:p w14:paraId="0B3A191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收集、分析各数智运营部门需求，并生成需求报告</w:t>
            </w:r>
          </w:p>
        </w:tc>
      </w:tr>
    </w:tbl>
    <w:p w14:paraId="7043C599">
      <w:pPr>
        <w:pStyle w:val="30"/>
        <w:bidi w:val="0"/>
        <w:rPr>
          <w:rFonts w:hint="default"/>
          <w:lang w:val="en-US" w:eastAsia="zh-CN"/>
        </w:rPr>
      </w:pPr>
      <w:bookmarkStart w:id="7" w:name="_Toc21081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环境</w:t>
      </w:r>
      <w:bookmarkEnd w:id="7"/>
    </w:p>
    <w:p w14:paraId="42C5705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研发所需环境如表3-2所示</w:t>
      </w:r>
    </w:p>
    <w:p w14:paraId="1D060C7B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环境需求表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9"/>
        <w:gridCol w:w="1001"/>
        <w:gridCol w:w="1959"/>
        <w:gridCol w:w="2126"/>
      </w:tblGrid>
      <w:tr w14:paraId="6FFFE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4DE7DD0E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资源名称</w:t>
            </w:r>
          </w:p>
        </w:tc>
        <w:tc>
          <w:tcPr>
            <w:tcW w:w="1001" w:type="dxa"/>
          </w:tcPr>
          <w:p w14:paraId="7A68747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级别</w:t>
            </w:r>
          </w:p>
        </w:tc>
        <w:tc>
          <w:tcPr>
            <w:tcW w:w="1959" w:type="dxa"/>
          </w:tcPr>
          <w:p w14:paraId="41D450D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详细配置</w:t>
            </w:r>
          </w:p>
        </w:tc>
        <w:tc>
          <w:tcPr>
            <w:tcW w:w="2126" w:type="dxa"/>
          </w:tcPr>
          <w:p w14:paraId="5CF6997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获取方式</w:t>
            </w:r>
          </w:p>
        </w:tc>
      </w:tr>
      <w:tr w14:paraId="4E1BC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45A803D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开发环境</w:t>
            </w:r>
          </w:p>
        </w:tc>
        <w:tc>
          <w:tcPr>
            <w:tcW w:w="1001" w:type="dxa"/>
          </w:tcPr>
          <w:p w14:paraId="2886DD3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959" w:type="dxa"/>
          </w:tcPr>
          <w:p w14:paraId="2C335DB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PHP+MySQL</w:t>
            </w:r>
          </w:p>
        </w:tc>
        <w:tc>
          <w:tcPr>
            <w:tcW w:w="2126" w:type="dxa"/>
          </w:tcPr>
          <w:p w14:paraId="1E0A4CE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开发服务器部署</w:t>
            </w:r>
          </w:p>
        </w:tc>
      </w:tr>
      <w:tr w14:paraId="4CA54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17A9F65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生产环境</w:t>
            </w:r>
          </w:p>
        </w:tc>
        <w:tc>
          <w:tcPr>
            <w:tcW w:w="1001" w:type="dxa"/>
          </w:tcPr>
          <w:p w14:paraId="39AE1BE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959" w:type="dxa"/>
          </w:tcPr>
          <w:p w14:paraId="3B04274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云服务器</w:t>
            </w:r>
          </w:p>
        </w:tc>
        <w:tc>
          <w:tcPr>
            <w:tcW w:w="2126" w:type="dxa"/>
          </w:tcPr>
          <w:p w14:paraId="3D2458E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购买云服务器</w:t>
            </w:r>
          </w:p>
        </w:tc>
      </w:tr>
      <w:tr w14:paraId="7ED61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17AA441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版本控制工具</w:t>
            </w:r>
          </w:p>
        </w:tc>
        <w:tc>
          <w:tcPr>
            <w:tcW w:w="1001" w:type="dxa"/>
          </w:tcPr>
          <w:p w14:paraId="2E0B69F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959" w:type="dxa"/>
          </w:tcPr>
          <w:p w14:paraId="531EC96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Github</w:t>
            </w:r>
          </w:p>
        </w:tc>
        <w:tc>
          <w:tcPr>
            <w:tcW w:w="2126" w:type="dxa"/>
          </w:tcPr>
          <w:p w14:paraId="63B8CD6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开源，可用</w:t>
            </w:r>
          </w:p>
        </w:tc>
      </w:tr>
    </w:tbl>
    <w:p w14:paraId="03BA6AB6">
      <w:pPr>
        <w:pStyle w:val="30"/>
        <w:bidi w:val="0"/>
        <w:rPr>
          <w:rFonts w:hint="default"/>
          <w:lang w:val="en-US" w:eastAsia="zh-CN"/>
        </w:rPr>
      </w:pPr>
      <w:bookmarkStart w:id="8" w:name="_Toc3243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进度</w:t>
      </w:r>
      <w:bookmarkEnd w:id="8"/>
    </w:p>
    <w:p w14:paraId="12AB96F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研发进度如表3-3所示</w:t>
      </w:r>
    </w:p>
    <w:p w14:paraId="6C4FF82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为更好更快的完成运维工具开发工作，依据运维工具研发管理制度对研发过程进行拆解，使得研发工作更加稳定有序。研发进度表如3-3所示</w:t>
      </w:r>
    </w:p>
    <w:p w14:paraId="76D1E801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研发进度表</w:t>
      </w:r>
    </w:p>
    <w:tbl>
      <w:tblPr>
        <w:tblStyle w:val="21"/>
        <w:tblW w:w="896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9"/>
        <w:gridCol w:w="1498"/>
        <w:gridCol w:w="5788"/>
      </w:tblGrid>
      <w:tr w14:paraId="72CA4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093D352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研发阶段</w:t>
            </w:r>
          </w:p>
        </w:tc>
        <w:tc>
          <w:tcPr>
            <w:tcW w:w="1498" w:type="dxa"/>
          </w:tcPr>
          <w:p w14:paraId="660C0B3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5788" w:type="dxa"/>
          </w:tcPr>
          <w:p w14:paraId="30F5D4E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工作内容</w:t>
            </w:r>
          </w:p>
        </w:tc>
      </w:tr>
      <w:tr w14:paraId="2FD21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306CC18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流程模型设计</w:t>
            </w:r>
          </w:p>
        </w:tc>
        <w:tc>
          <w:tcPr>
            <w:tcW w:w="1498" w:type="dxa"/>
          </w:tcPr>
          <w:p w14:paraId="39A8EAE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2025.4</w:t>
            </w:r>
          </w:p>
        </w:tc>
        <w:tc>
          <w:tcPr>
            <w:tcW w:w="5788" w:type="dxa"/>
          </w:tcPr>
          <w:p w14:paraId="1D96499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收集运维相关部门的需求，进行分析，生成工作流业务模型，状态图、</w:t>
            </w:r>
          </w:p>
        </w:tc>
      </w:tr>
      <w:tr w14:paraId="67B54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0ECD28F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开发、配置</w:t>
            </w:r>
          </w:p>
        </w:tc>
        <w:tc>
          <w:tcPr>
            <w:tcW w:w="1498" w:type="dxa"/>
          </w:tcPr>
          <w:p w14:paraId="21A7A755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2025.5-7</w:t>
            </w:r>
          </w:p>
        </w:tc>
        <w:tc>
          <w:tcPr>
            <w:tcW w:w="5788" w:type="dxa"/>
          </w:tcPr>
          <w:p w14:paraId="0C7895D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开发自定义工作流</w:t>
            </w:r>
          </w:p>
        </w:tc>
      </w:tr>
      <w:tr w14:paraId="0EEB9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35CC09D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测试、优化</w:t>
            </w:r>
          </w:p>
        </w:tc>
        <w:tc>
          <w:tcPr>
            <w:tcW w:w="1498" w:type="dxa"/>
          </w:tcPr>
          <w:p w14:paraId="77DA51A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5788" w:type="dxa"/>
          </w:tcPr>
          <w:p w14:paraId="503C91E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进行单元、集成测试，修改BUG</w:t>
            </w:r>
          </w:p>
        </w:tc>
      </w:tr>
      <w:tr w14:paraId="3D203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482C097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试运行</w:t>
            </w:r>
          </w:p>
        </w:tc>
        <w:tc>
          <w:tcPr>
            <w:tcW w:w="1498" w:type="dxa"/>
          </w:tcPr>
          <w:p w14:paraId="32FD99F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5788" w:type="dxa"/>
          </w:tcPr>
          <w:p w14:paraId="13992A6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优先在数智运营部试运行，监测使用效果，提出改进意见</w:t>
            </w:r>
          </w:p>
        </w:tc>
      </w:tr>
      <w:tr w14:paraId="5657A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4348BAC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正式运行</w:t>
            </w:r>
          </w:p>
        </w:tc>
        <w:tc>
          <w:tcPr>
            <w:tcW w:w="1498" w:type="dxa"/>
          </w:tcPr>
          <w:p w14:paraId="3C415BD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5788" w:type="dxa"/>
          </w:tcPr>
          <w:p w14:paraId="6A18CA8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研究总院对系统进行完售后正式上线</w:t>
            </w:r>
          </w:p>
        </w:tc>
      </w:tr>
    </w:tbl>
    <w:p w14:paraId="24CB37A4">
      <w:pPr>
        <w:pStyle w:val="28"/>
        <w:bidi w:val="0"/>
        <w:rPr>
          <w:rFonts w:hint="default"/>
          <w:lang w:val="en-US" w:eastAsia="zh-CN"/>
        </w:rPr>
      </w:pPr>
      <w:bookmarkStart w:id="9" w:name="_Toc12464"/>
      <w:r>
        <w:rPr>
          <w:rFonts w:hint="eastAsia"/>
          <w:lang w:val="en-US" w:eastAsia="zh-CN"/>
        </w:rPr>
        <w:t>运维服务手册研发</w:t>
      </w:r>
      <w:bookmarkEnd w:id="9"/>
    </w:p>
    <w:p w14:paraId="5231FA19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运维手册研发计划表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3575"/>
        <w:gridCol w:w="2841"/>
      </w:tblGrid>
      <w:tr w14:paraId="223D3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4796113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575" w:type="dxa"/>
          </w:tcPr>
          <w:p w14:paraId="5C1CB55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手册名称</w:t>
            </w:r>
          </w:p>
        </w:tc>
        <w:tc>
          <w:tcPr>
            <w:tcW w:w="2841" w:type="dxa"/>
          </w:tcPr>
          <w:p w14:paraId="602BCEB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计划时间</w:t>
            </w:r>
          </w:p>
        </w:tc>
      </w:tr>
      <w:tr w14:paraId="59840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4BA1E985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4A9B68E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Docker安装nginx</w:t>
            </w:r>
          </w:p>
        </w:tc>
        <w:tc>
          <w:tcPr>
            <w:tcW w:w="2841" w:type="dxa"/>
          </w:tcPr>
          <w:p w14:paraId="4B6AC251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</w:tc>
      </w:tr>
      <w:tr w14:paraId="61510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7BBBAEB0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460BE6FB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Jenkins构建java项目（分布式）</w:t>
            </w:r>
          </w:p>
        </w:tc>
        <w:tc>
          <w:tcPr>
            <w:tcW w:w="2841" w:type="dxa"/>
          </w:tcPr>
          <w:p w14:paraId="4A6FC0E8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2025.7</w:t>
            </w:r>
          </w:p>
        </w:tc>
      </w:tr>
      <w:tr w14:paraId="5A71B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651402E5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2902980C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Jenkins构建前端项目（分布式）</w:t>
            </w:r>
          </w:p>
        </w:tc>
        <w:tc>
          <w:tcPr>
            <w:tcW w:w="2841" w:type="dxa"/>
          </w:tcPr>
          <w:p w14:paraId="23ADED85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</w:tr>
    </w:tbl>
    <w:p w14:paraId="00C22392">
      <w:pPr>
        <w:pStyle w:val="28"/>
        <w:bidi w:val="0"/>
        <w:rPr>
          <w:rFonts w:hint="default"/>
          <w:lang w:val="en-US" w:eastAsia="zh-CN"/>
        </w:rPr>
      </w:pPr>
      <w:bookmarkStart w:id="10" w:name="_Toc27297"/>
      <w:r>
        <w:rPr>
          <w:rFonts w:hint="eastAsia"/>
          <w:lang w:val="en-US" w:eastAsia="zh-CN"/>
        </w:rPr>
        <w:t>研发经费</w:t>
      </w:r>
      <w:bookmarkEnd w:id="10"/>
    </w:p>
    <w:p w14:paraId="0BF5072E">
      <w:pPr>
        <w:pStyle w:val="29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本次研发包含工作流定制开发与运维手册研发两部分，预算总额为</w:t>
      </w:r>
      <w:r>
        <w:rPr>
          <w:rFonts w:hint="eastAsia"/>
          <w:lang w:val="en-US" w:eastAsia="zh-CN"/>
        </w:rPr>
        <w:t>20.3</w:t>
      </w:r>
      <w:r>
        <w:rPr>
          <w:rFonts w:hint="default"/>
          <w:lang w:val="en-US" w:eastAsia="zh-CN"/>
        </w:rPr>
        <w:t>万元。</w:t>
      </w:r>
      <w:r>
        <w:rPr>
          <w:rFonts w:hint="eastAsia"/>
          <w:lang w:val="en-US" w:eastAsia="zh-CN"/>
        </w:rPr>
        <w:t>具体使用情况如表5-1所示。</w:t>
      </w:r>
    </w:p>
    <w:p w14:paraId="6CF04E98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研发经费投入表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3575"/>
        <w:gridCol w:w="2841"/>
      </w:tblGrid>
      <w:tr w14:paraId="34CA6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1FEEECF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575" w:type="dxa"/>
          </w:tcPr>
          <w:p w14:paraId="2352264E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开支项目</w:t>
            </w:r>
          </w:p>
        </w:tc>
        <w:tc>
          <w:tcPr>
            <w:tcW w:w="2841" w:type="dxa"/>
          </w:tcPr>
          <w:p w14:paraId="6680314B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金额（万元）</w:t>
            </w:r>
          </w:p>
        </w:tc>
      </w:tr>
      <w:tr w14:paraId="508F2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0ED1D825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27B7195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人力资源成本</w:t>
            </w:r>
          </w:p>
        </w:tc>
        <w:tc>
          <w:tcPr>
            <w:tcW w:w="2841" w:type="dxa"/>
          </w:tcPr>
          <w:p w14:paraId="5210E6D0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</w:t>
            </w:r>
          </w:p>
        </w:tc>
      </w:tr>
      <w:tr w14:paraId="6F738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0A29E507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21ADDA31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测试与授权费用</w:t>
            </w:r>
          </w:p>
        </w:tc>
        <w:tc>
          <w:tcPr>
            <w:tcW w:w="2841" w:type="dxa"/>
          </w:tcPr>
          <w:p w14:paraId="4ACA5849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0.5</w:t>
            </w:r>
          </w:p>
        </w:tc>
      </w:tr>
      <w:tr w14:paraId="5DF4B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37CBCA7B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01EA23B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手册研发成本</w:t>
            </w:r>
          </w:p>
        </w:tc>
        <w:tc>
          <w:tcPr>
            <w:tcW w:w="2841" w:type="dxa"/>
          </w:tcPr>
          <w:p w14:paraId="22628EA7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1.8</w:t>
            </w:r>
          </w:p>
        </w:tc>
      </w:tr>
      <w:tr w14:paraId="5CCA8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561FD9EF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4C510D6F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总计</w:t>
            </w:r>
          </w:p>
        </w:tc>
        <w:tc>
          <w:tcPr>
            <w:tcW w:w="2841" w:type="dxa"/>
          </w:tcPr>
          <w:p w14:paraId="7C79DFC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20.3</w:t>
            </w:r>
          </w:p>
        </w:tc>
      </w:tr>
    </w:tbl>
    <w:p w14:paraId="379C5F4B">
      <w:pPr>
        <w:pStyle w:val="28"/>
        <w:bidi w:val="0"/>
        <w:rPr>
          <w:rFonts w:hint="default"/>
          <w:lang w:val="en-US" w:eastAsia="zh-CN"/>
        </w:rPr>
      </w:pPr>
      <w:bookmarkStart w:id="11" w:name="_Toc11776"/>
      <w:bookmarkStart w:id="12" w:name="_Toc14087"/>
      <w:r>
        <w:rPr>
          <w:rFonts w:hint="eastAsia"/>
          <w:lang w:val="en-US" w:eastAsia="zh-CN"/>
        </w:rPr>
        <w:t>新技术研发</w:t>
      </w:r>
      <w:bookmarkEnd w:id="11"/>
      <w:bookmarkEnd w:id="12"/>
    </w:p>
    <w:p w14:paraId="7A357D1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为构建公司未来的技术竞争力，本规划在夯实流程化管理的基础上，同步启动新技术的预研工作。本轮研究将聚焦于运维自动化与智能化，旨在从“被动响应”向“主动预防”演进。</w:t>
      </w:r>
    </w:p>
    <w:p w14:paraId="36D459A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研究内容与目标：</w:t>
      </w:r>
    </w:p>
    <w:p w14:paraId="0585D41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探索AIOps智能运维与可观测性技术栈。计划在2025年第四季度，基于开源技术搭建原型系统，实现智能告警收敛与自动化故障处理的初步能力，并与禅道流程平台进行集成验证。此举旨在提升运维效率，并为公司积累智能运维领域的核心技术与人才储备。</w:t>
      </w:r>
    </w:p>
    <w:p w14:paraId="6AA3FE67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EB135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EFE97EC"/>
    <w:multiLevelType w:val="singleLevel"/>
    <w:tmpl w:val="EEFE97E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9320EFE"/>
    <w:multiLevelType w:val="singleLevel"/>
    <w:tmpl w:val="29320E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8F05F01"/>
    <w:rsid w:val="4B120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1418</Words>
  <Characters>1571</Characters>
  <Lines>0</Lines>
  <Paragraphs>0</Paragraphs>
  <TotalTime>0</TotalTime>
  <ScaleCrop>false</ScaleCrop>
  <LinksUpToDate>false</LinksUpToDate>
  <CharactersWithSpaces>1621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2026-01-16T19:19:05Z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