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7B75D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41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76A369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5721"/>
      <w:r>
        <w:rPr>
          <w:rFonts w:hint="eastAsia"/>
          <w:lang w:val="en-US" w:eastAsia="zh-CN"/>
        </w:rPr>
        <w:t>运维服务工具管理制度</w:t>
      </w:r>
      <w:bookmarkEnd w:id="1"/>
    </w:p>
    <w:p w14:paraId="47CA472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67EB0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DD4E1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2767B3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89ABA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8CDA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C1D25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D7D7A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CFBC4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7C89B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0A2569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EC7897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bookmarkStart w:id="19" w:name="_GoBack"/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  <w:bookmarkEnd w:id="19"/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2B3D30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511F1F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F39AAF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_Toc28412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C6D35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运维服务工具管理制度</w:t>
          </w:r>
          <w:r>
            <w:tab/>
          </w:r>
          <w:r>
            <w:fldChar w:fldCharType="begin"/>
          </w:r>
          <w:r>
            <w:instrText xml:space="preserve"> PAGEREF _Toc5721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2EA8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_Toc31745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8810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_Toc14912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A2A5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_Toc27278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9E7C1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运维过程管理工具</w:t>
          </w:r>
          <w:r>
            <w:tab/>
          </w:r>
          <w:r>
            <w:fldChar w:fldCharType="begin"/>
          </w:r>
          <w:r>
            <w:instrText xml:space="preserve"> PAGEREF _Toc11886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5996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运维监控工具</w:t>
          </w:r>
          <w:r>
            <w:tab/>
          </w:r>
          <w:r>
            <w:fldChar w:fldCharType="begin"/>
          </w:r>
          <w:r>
            <w:instrText xml:space="preserve"> PAGEREF _Toc25251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1A6E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运维专用工具</w:t>
          </w:r>
          <w:r>
            <w:tab/>
          </w:r>
          <w:r>
            <w:fldChar w:fldCharType="begin"/>
          </w:r>
          <w:r>
            <w:instrText xml:space="preserve"> PAGEREF _Toc3068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6CB21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管理职责</w:t>
          </w:r>
          <w:r>
            <w:tab/>
          </w:r>
          <w:r>
            <w:fldChar w:fldCharType="begin"/>
          </w:r>
          <w:r>
            <w:instrText xml:space="preserve"> PAGEREF _Toc11703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DBA3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运维管理部门</w:t>
          </w:r>
          <w:r>
            <w:tab/>
          </w:r>
          <w:r>
            <w:fldChar w:fldCharType="begin"/>
          </w:r>
          <w:r>
            <w:instrText xml:space="preserve"> PAGEREF _Toc24607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7B37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工具使用人员</w:t>
          </w:r>
          <w:r>
            <w:tab/>
          </w:r>
          <w:r>
            <w:fldChar w:fldCharType="begin"/>
          </w:r>
          <w:r>
            <w:instrText xml:space="preserve"> PAGEREF _Toc28490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E63E1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工具管理要求</w:t>
          </w:r>
          <w:r>
            <w:tab/>
          </w:r>
          <w:r>
            <w:fldChar w:fldCharType="begin"/>
          </w:r>
          <w:r>
            <w:instrText xml:space="preserve"> PAGEREF _Toc18192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FE6D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日常使用管理</w:t>
          </w:r>
          <w:r>
            <w:tab/>
          </w:r>
          <w:r>
            <w:fldChar w:fldCharType="begin"/>
          </w:r>
          <w:r>
            <w:instrText xml:space="preserve"> PAGEREF _Toc1694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B1881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数据备份管理</w:t>
          </w:r>
          <w:r>
            <w:tab/>
          </w:r>
          <w:r>
            <w:fldChar w:fldCharType="begin"/>
          </w:r>
          <w:r>
            <w:instrText xml:space="preserve"> PAGEREF _Toc12104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6DB01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日常维护管理</w:t>
          </w:r>
          <w:r>
            <w:tab/>
          </w:r>
          <w:r>
            <w:fldChar w:fldCharType="begin"/>
          </w:r>
          <w:r>
            <w:instrText xml:space="preserve"> PAGEREF _Toc2938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866F8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工具评估与改进</w:t>
          </w:r>
          <w:r>
            <w:tab/>
          </w:r>
          <w:r>
            <w:fldChar w:fldCharType="begin"/>
          </w:r>
          <w:r>
            <w:instrText xml:space="preserve"> PAGEREF _Toc4037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A735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定期评估</w:t>
          </w:r>
          <w:r>
            <w:tab/>
          </w:r>
          <w:r>
            <w:fldChar w:fldCharType="begin"/>
          </w:r>
          <w:r>
            <w:instrText xml:space="preserve"> PAGEREF _Toc9716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1EE99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持续改进</w:t>
          </w:r>
          <w:r>
            <w:tab/>
          </w:r>
          <w:r>
            <w:fldChar w:fldCharType="begin"/>
          </w:r>
          <w:r>
            <w:instrText xml:space="preserve"> PAGEREF _Toc28963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05136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_Toc16783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37EF9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F6B7824">
      <w:pPr>
        <w:rPr>
          <w:rFonts w:hint="default"/>
          <w:lang w:val="en-US" w:eastAsia="zh-CN"/>
        </w:rPr>
      </w:pPr>
      <w:bookmarkStart w:id="2" w:name="_Toc31745"/>
      <w:r>
        <w:rPr>
          <w:rFonts w:hint="default"/>
          <w:lang w:val="en-US" w:eastAsia="zh-CN"/>
        </w:rPr>
        <w:br w:type="page"/>
      </w:r>
    </w:p>
    <w:p w14:paraId="126B6BCE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  <w:bookmarkEnd w:id="2"/>
    </w:p>
    <w:p w14:paraId="59DF0DC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为规范公司运维工具的管理与使用，确保运维服务质量与效率，明确工具分类及管理职责，特制定本制度。</w:t>
      </w:r>
    </w:p>
    <w:p w14:paraId="3939C09E">
      <w:pPr>
        <w:pStyle w:val="28"/>
        <w:bidi w:val="0"/>
        <w:rPr>
          <w:rFonts w:hint="default"/>
          <w:lang w:val="en-US" w:eastAsia="zh-CN"/>
        </w:rPr>
      </w:pPr>
      <w:bookmarkStart w:id="3" w:name="_Toc14912"/>
      <w:r>
        <w:rPr>
          <w:rFonts w:hint="default"/>
          <w:lang w:val="en-US" w:eastAsia="zh-CN"/>
        </w:rPr>
        <w:t>适用范围</w:t>
      </w:r>
      <w:bookmarkEnd w:id="3"/>
    </w:p>
    <w:p w14:paraId="63C95C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本制度适用于公司范围内所有运维工具及其使用、管理人员，涵盖过程管理工具、监控工具、专用工具三类。</w:t>
      </w:r>
    </w:p>
    <w:p w14:paraId="79E82EE2">
      <w:pPr>
        <w:pStyle w:val="28"/>
        <w:bidi w:val="0"/>
        <w:rPr>
          <w:rFonts w:hint="default"/>
          <w:lang w:val="en-US" w:eastAsia="zh-CN"/>
        </w:rPr>
      </w:pPr>
      <w:bookmarkStart w:id="4" w:name="_Toc27278"/>
      <w:r>
        <w:rPr>
          <w:rFonts w:hint="default"/>
          <w:lang w:val="en-US" w:eastAsia="zh-CN"/>
        </w:rPr>
        <w:t>定义与术语</w:t>
      </w:r>
      <w:bookmarkEnd w:id="4"/>
    </w:p>
    <w:p w14:paraId="17B27EBA">
      <w:pPr>
        <w:pStyle w:val="30"/>
        <w:bidi w:val="0"/>
        <w:rPr>
          <w:rFonts w:hint="default"/>
          <w:lang w:val="en-US" w:eastAsia="zh-CN"/>
        </w:rPr>
      </w:pPr>
      <w:bookmarkStart w:id="5" w:name="_Toc11886"/>
      <w:r>
        <w:rPr>
          <w:rFonts w:hint="default"/>
          <w:lang w:val="en-US" w:eastAsia="zh-CN"/>
        </w:rPr>
        <w:t>运维过程管理工具</w:t>
      </w:r>
      <w:bookmarkEnd w:id="5"/>
    </w:p>
    <w:p w14:paraId="735040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用于支撑运维服务流程执行、任务派发、过程跟踪、结果记录等的软件系统。</w:t>
      </w:r>
    </w:p>
    <w:p w14:paraId="7E64F2BC">
      <w:pPr>
        <w:pStyle w:val="30"/>
        <w:bidi w:val="0"/>
        <w:rPr>
          <w:rFonts w:hint="default"/>
          <w:lang w:val="en-US" w:eastAsia="zh-CN"/>
        </w:rPr>
      </w:pPr>
      <w:bookmarkStart w:id="6" w:name="_Toc25251"/>
      <w:r>
        <w:rPr>
          <w:rFonts w:hint="default"/>
          <w:lang w:val="en-US" w:eastAsia="zh-CN"/>
        </w:rPr>
        <w:t>运维监控工具</w:t>
      </w:r>
      <w:bookmarkEnd w:id="6"/>
    </w:p>
    <w:p w14:paraId="1D0267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用于实时监控系统、网络、应用等运行状态，采集性能数据，进行告警与报告的工具。</w:t>
      </w:r>
    </w:p>
    <w:p w14:paraId="21514720">
      <w:pPr>
        <w:pStyle w:val="30"/>
        <w:bidi w:val="0"/>
        <w:rPr>
          <w:rFonts w:hint="default"/>
          <w:lang w:val="en-US" w:eastAsia="zh-CN"/>
        </w:rPr>
      </w:pPr>
      <w:bookmarkStart w:id="7" w:name="_Toc3068"/>
      <w:r>
        <w:rPr>
          <w:rFonts w:hint="default"/>
          <w:lang w:val="en-US" w:eastAsia="zh-CN"/>
        </w:rPr>
        <w:t>运维专用工具</w:t>
      </w:r>
      <w:bookmarkEnd w:id="7"/>
    </w:p>
    <w:p w14:paraId="335491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为特定运维场景或技术领域设计的专用软件或硬件工具，如日志分析工具、安全扫描工具等。</w:t>
      </w:r>
    </w:p>
    <w:p w14:paraId="4CD30F97">
      <w:pPr>
        <w:pStyle w:val="28"/>
        <w:bidi w:val="0"/>
        <w:rPr>
          <w:rFonts w:hint="default"/>
          <w:lang w:val="en-US" w:eastAsia="zh-CN"/>
        </w:rPr>
      </w:pPr>
      <w:bookmarkStart w:id="8" w:name="_Toc11703"/>
      <w:r>
        <w:rPr>
          <w:rFonts w:hint="default"/>
          <w:lang w:val="en-US" w:eastAsia="zh-CN"/>
        </w:rPr>
        <w:t>管理职责</w:t>
      </w:r>
      <w:bookmarkEnd w:id="8"/>
    </w:p>
    <w:p w14:paraId="37053EFB">
      <w:pPr>
        <w:pStyle w:val="30"/>
        <w:bidi w:val="0"/>
        <w:rPr>
          <w:rFonts w:hint="default"/>
          <w:lang w:val="en-US" w:eastAsia="zh-CN"/>
        </w:rPr>
      </w:pPr>
      <w:bookmarkStart w:id="9" w:name="_Toc24607"/>
      <w:r>
        <w:rPr>
          <w:rFonts w:hint="default"/>
          <w:lang w:val="en-US" w:eastAsia="zh-CN"/>
        </w:rPr>
        <w:t>运维管理部门</w:t>
      </w:r>
      <w:bookmarkEnd w:id="9"/>
    </w:p>
    <w:p w14:paraId="5548D0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负责全公司运维工具的统一规划、选型、采购、部署与验收。</w:t>
      </w:r>
    </w:p>
    <w:p w14:paraId="043FAB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负责制定运维工具管理规范、操作流程与培训体系。</w:t>
      </w:r>
    </w:p>
    <w:p w14:paraId="45696A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负责工具的日常维护、升级、备份与故障处理。</w:t>
      </w:r>
    </w:p>
    <w:p w14:paraId="2DFCFE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监督工具使用情况，定期开展使用效果评估与优化改进。</w:t>
      </w:r>
    </w:p>
    <w:p w14:paraId="752CBB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负责工具使用权限管理与安全控制。</w:t>
      </w:r>
    </w:p>
    <w:p w14:paraId="09307B6F">
      <w:pPr>
        <w:pStyle w:val="30"/>
        <w:bidi w:val="0"/>
        <w:rPr>
          <w:rFonts w:hint="default"/>
          <w:lang w:val="en-US" w:eastAsia="zh-CN"/>
        </w:rPr>
      </w:pPr>
      <w:bookmarkStart w:id="10" w:name="_Toc28490"/>
      <w:r>
        <w:rPr>
          <w:rFonts w:hint="default"/>
          <w:lang w:val="en-US" w:eastAsia="zh-CN"/>
        </w:rPr>
        <w:t>工具使用人员</w:t>
      </w:r>
      <w:bookmarkEnd w:id="10"/>
    </w:p>
    <w:p w14:paraId="77CBE4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严格遵守工具操作规程与安全规定。</w:t>
      </w:r>
    </w:p>
    <w:p w14:paraId="0ABA48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参与工具培训并通过考核后方可上岗操作。</w:t>
      </w:r>
    </w:p>
    <w:p w14:paraId="41BDEC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及时反馈工具使用中遇到的问题与改进建议。</w:t>
      </w:r>
    </w:p>
    <w:p w14:paraId="3A732D1D">
      <w:pPr>
        <w:pStyle w:val="28"/>
        <w:bidi w:val="0"/>
        <w:rPr>
          <w:rFonts w:hint="default"/>
          <w:lang w:val="en-US" w:eastAsia="zh-CN"/>
        </w:rPr>
      </w:pPr>
      <w:bookmarkStart w:id="11" w:name="_Toc18192"/>
      <w:r>
        <w:rPr>
          <w:rFonts w:hint="default"/>
          <w:lang w:val="en-US" w:eastAsia="zh-CN"/>
        </w:rPr>
        <w:t>工具管理要求</w:t>
      </w:r>
      <w:bookmarkEnd w:id="11"/>
    </w:p>
    <w:p w14:paraId="6DB2B1BB">
      <w:pPr>
        <w:pStyle w:val="30"/>
        <w:bidi w:val="0"/>
        <w:rPr>
          <w:rFonts w:hint="default"/>
          <w:lang w:val="en-US" w:eastAsia="zh-CN"/>
        </w:rPr>
      </w:pPr>
      <w:bookmarkStart w:id="12" w:name="_Toc1694"/>
      <w:r>
        <w:rPr>
          <w:rFonts w:hint="default"/>
          <w:lang w:val="en-US" w:eastAsia="zh-CN"/>
        </w:rPr>
        <w:t>日常使用管理</w:t>
      </w:r>
      <w:bookmarkEnd w:id="12"/>
    </w:p>
    <w:p w14:paraId="009BA3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运维工具的安装与使用须经授权，禁止私自安装或使用未授权工具。</w:t>
      </w:r>
    </w:p>
    <w:p w14:paraId="267482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工具使用人员须接受相关培训并考核合格。</w:t>
      </w:r>
    </w:p>
    <w:p w14:paraId="0FB78B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工具操作手册应及时更新，经评审后发布。</w:t>
      </w:r>
    </w:p>
    <w:p w14:paraId="7CCC8BBD">
      <w:pPr>
        <w:pStyle w:val="30"/>
        <w:bidi w:val="0"/>
        <w:rPr>
          <w:rFonts w:hint="default"/>
          <w:lang w:val="en-US" w:eastAsia="zh-CN"/>
        </w:rPr>
      </w:pPr>
      <w:bookmarkStart w:id="13" w:name="_Toc12104"/>
      <w:r>
        <w:rPr>
          <w:rFonts w:hint="default"/>
          <w:lang w:val="en-US" w:eastAsia="zh-CN"/>
        </w:rPr>
        <w:t>数据备份管理</w:t>
      </w:r>
      <w:bookmarkEnd w:id="13"/>
    </w:p>
    <w:p w14:paraId="5654D4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定期备份系统数据、配置信息及业务数据，备份频率根据业务需求确定。</w:t>
      </w:r>
    </w:p>
    <w:p w14:paraId="424D7A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配置信息变更前必须进行备份。</w:t>
      </w:r>
    </w:p>
    <w:p w14:paraId="3DDDB9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备份数据应进行定期恢复验证。</w:t>
      </w:r>
    </w:p>
    <w:p w14:paraId="778BA7DE">
      <w:pPr>
        <w:pStyle w:val="30"/>
        <w:bidi w:val="0"/>
        <w:rPr>
          <w:rFonts w:hint="default"/>
          <w:lang w:val="en-US" w:eastAsia="zh-CN"/>
        </w:rPr>
      </w:pPr>
      <w:bookmarkStart w:id="14" w:name="_Toc2938"/>
      <w:r>
        <w:rPr>
          <w:rFonts w:hint="default"/>
          <w:lang w:val="en-US" w:eastAsia="zh-CN"/>
        </w:rPr>
        <w:t>日常维护管理</w:t>
      </w:r>
      <w:bookmarkEnd w:id="14"/>
    </w:p>
    <w:p w14:paraId="1E7217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发现工具异常应立即上报，并记录故障现象与处理过程。</w:t>
      </w:r>
    </w:p>
    <w:p w14:paraId="1F60B0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定期检查工具运行日志，识别异常或违规使用行为。</w:t>
      </w:r>
    </w:p>
    <w:p w14:paraId="369540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加强账号与口令管理，定期更换系统管理员密码，密码应具备一定复杂度。</w:t>
      </w:r>
    </w:p>
    <w:p w14:paraId="75655E1B">
      <w:pPr>
        <w:pStyle w:val="28"/>
        <w:bidi w:val="0"/>
        <w:rPr>
          <w:rFonts w:hint="default"/>
          <w:lang w:val="en-US" w:eastAsia="zh-CN"/>
        </w:rPr>
      </w:pPr>
      <w:bookmarkStart w:id="15" w:name="_Toc4037"/>
      <w:r>
        <w:rPr>
          <w:rFonts w:hint="default"/>
          <w:lang w:val="en-US" w:eastAsia="zh-CN"/>
        </w:rPr>
        <w:t>工具评估与改进</w:t>
      </w:r>
      <w:bookmarkEnd w:id="15"/>
    </w:p>
    <w:p w14:paraId="3F82FD38">
      <w:pPr>
        <w:pStyle w:val="30"/>
        <w:bidi w:val="0"/>
        <w:rPr>
          <w:rFonts w:hint="default"/>
          <w:lang w:val="en-US" w:eastAsia="zh-CN"/>
        </w:rPr>
      </w:pPr>
      <w:bookmarkStart w:id="16" w:name="_Toc9716"/>
      <w:r>
        <w:rPr>
          <w:rFonts w:hint="default"/>
          <w:lang w:val="en-US" w:eastAsia="zh-CN"/>
        </w:rPr>
        <w:t>定期评估</w:t>
      </w:r>
      <w:bookmarkEnd w:id="16"/>
    </w:p>
    <w:p w14:paraId="1251CB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每年至少组织一次运维工具使用评估，形成评估报告，识别问题并提出优化建议。</w:t>
      </w:r>
    </w:p>
    <w:p w14:paraId="3E759191">
      <w:pPr>
        <w:pStyle w:val="30"/>
        <w:bidi w:val="0"/>
        <w:rPr>
          <w:rFonts w:hint="default"/>
          <w:lang w:val="en-US" w:eastAsia="zh-CN"/>
        </w:rPr>
      </w:pPr>
      <w:bookmarkStart w:id="17" w:name="_Toc28963"/>
      <w:r>
        <w:rPr>
          <w:rFonts w:hint="default"/>
          <w:lang w:val="en-US" w:eastAsia="zh-CN"/>
        </w:rPr>
        <w:t>持续改进</w:t>
      </w:r>
      <w:bookmarkEnd w:id="17"/>
    </w:p>
    <w:p w14:paraId="7EB212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使用人员可随时提出工具功能、性能或安全方面的改进建议。</w:t>
      </w:r>
    </w:p>
    <w:p w14:paraId="579985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评估报告中的问题由运维管理部门组织分析，制定改进计划并推动落实。</w:t>
      </w:r>
    </w:p>
    <w:p w14:paraId="634422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重大改进方案需经评审后方可实施。</w:t>
      </w:r>
    </w:p>
    <w:p w14:paraId="34D30B39">
      <w:pPr>
        <w:pStyle w:val="28"/>
        <w:bidi w:val="0"/>
        <w:rPr>
          <w:rFonts w:hint="default"/>
          <w:lang w:val="en-US" w:eastAsia="zh-CN"/>
        </w:rPr>
      </w:pPr>
      <w:bookmarkStart w:id="18" w:name="_Toc16783"/>
      <w:r>
        <w:rPr>
          <w:rFonts w:hint="default"/>
          <w:lang w:val="en-US" w:eastAsia="zh-CN"/>
        </w:rPr>
        <w:t>附则</w:t>
      </w:r>
      <w:bookmarkEnd w:id="18"/>
    </w:p>
    <w:p w14:paraId="3B3261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C149A1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0149E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874344"/>
    <w:rsid w:val="0BA75DFA"/>
    <w:rsid w:val="26167B49"/>
    <w:rsid w:val="298E7457"/>
    <w:rsid w:val="2C4753BA"/>
    <w:rsid w:val="303625F7"/>
    <w:rsid w:val="378325C5"/>
    <w:rsid w:val="43FB1735"/>
    <w:rsid w:val="47264D1B"/>
    <w:rsid w:val="4A1C56D9"/>
    <w:rsid w:val="537D3F15"/>
    <w:rsid w:val="59B9557B"/>
    <w:rsid w:val="63DD630A"/>
    <w:rsid w:val="6CAB169B"/>
    <w:rsid w:val="73337CF4"/>
    <w:rsid w:val="73F41EFF"/>
    <w:rsid w:val="7A8E6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1043</Words>
  <Characters>1135</Characters>
  <Lines>0</Lines>
  <Paragraphs>0</Paragraphs>
  <TotalTime>0</TotalTime>
  <ScaleCrop>false</ScaleCrop>
  <LinksUpToDate>false</LinksUpToDate>
  <CharactersWithSpaces>1209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2026-01-16T19:20:14Z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