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E0AB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79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AA8EFD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6158"/>
      <w:r>
        <w:rPr>
          <w:rFonts w:hint="eastAsia"/>
          <w:lang w:val="en-US" w:eastAsia="zh-CN"/>
        </w:rPr>
        <w:t>服务数据管理制度</w:t>
      </w:r>
      <w:bookmarkEnd w:id="1"/>
    </w:p>
    <w:p w14:paraId="6E1E46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C1E4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A8A6E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57605E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173D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CC173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521BF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2620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1B813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57FA6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A8AC82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5CA54C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C930A3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GoBack"/>
      <w:bookmarkEnd w:id="2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8D8E5C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5D036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_Toc28791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2672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_Toc16158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41EF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5362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_Toc7056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D148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_Toc13368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4B63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88F9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_Toc13077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5797D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数智运营部</w:t>
          </w:r>
          <w:r>
            <w:tab/>
          </w:r>
          <w:r>
            <w:fldChar w:fldCharType="begin"/>
          </w:r>
          <w:r>
            <w:instrText xml:space="preserve"> PAGEREF _Toc32054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548BE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质量管理部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BEFD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研究总院</w:t>
          </w:r>
          <w:r>
            <w:tab/>
          </w:r>
          <w:r>
            <w:fldChar w:fldCharType="begin"/>
          </w:r>
          <w:r>
            <w:instrText xml:space="preserve"> PAGEREF _Toc1895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DA673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人力部</w:t>
          </w:r>
          <w:r>
            <w:tab/>
          </w:r>
          <w:r>
            <w:fldChar w:fldCharType="begin"/>
          </w:r>
          <w:r>
            <w:instrText xml:space="preserve"> PAGEREF _Toc23035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7D76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采购部</w:t>
          </w:r>
          <w:r>
            <w:tab/>
          </w:r>
          <w:r>
            <w:fldChar w:fldCharType="begin"/>
          </w:r>
          <w:r>
            <w:instrText xml:space="preserve"> PAGEREF _Toc8083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AF54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_Toc17601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47D9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_Toc10624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5BE8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运维服务数据</w:t>
          </w:r>
          <w:r>
            <w:tab/>
          </w:r>
          <w:r>
            <w:fldChar w:fldCharType="begin"/>
          </w:r>
          <w:r>
            <w:instrText xml:space="preserve"> PAGEREF _Toc7130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F50F8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数据资产目录</w:t>
          </w:r>
          <w:r>
            <w:tab/>
          </w:r>
          <w:r>
            <w:fldChar w:fldCharType="begin"/>
          </w:r>
          <w:r>
            <w:instrText xml:space="preserve"> PAGEREF _Toc19131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E401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数据定级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5E1F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_Toc13680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73D0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数据分类与定级</w:t>
          </w:r>
          <w:r>
            <w:tab/>
          </w:r>
          <w:r>
            <w:fldChar w:fldCharType="begin"/>
          </w:r>
          <w:r>
            <w:instrText xml:space="preserve"> PAGEREF _Toc17950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330E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数据质量管理</w:t>
          </w:r>
          <w:r>
            <w:tab/>
          </w:r>
          <w:r>
            <w:fldChar w:fldCharType="begin"/>
          </w:r>
          <w:r>
            <w:instrText xml:space="preserve"> PAGEREF _Toc12023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6810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数据安全管理</w:t>
          </w:r>
          <w:r>
            <w:tab/>
          </w:r>
          <w:r>
            <w:fldChar w:fldCharType="begin"/>
          </w:r>
          <w:r>
            <w:instrText xml:space="preserve"> PAGEREF _Toc30640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8470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数据生命周期管理</w:t>
          </w:r>
          <w:r>
            <w:tab/>
          </w:r>
          <w:r>
            <w:fldChar w:fldCharType="begin"/>
          </w:r>
          <w:r>
            <w:instrText xml:space="preserve"> PAGEREF _Toc22505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4316A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数据驱动决策机制</w:t>
          </w:r>
          <w:r>
            <w:tab/>
          </w:r>
          <w:r>
            <w:fldChar w:fldCharType="begin"/>
          </w:r>
          <w:r>
            <w:instrText xml:space="preserve"> PAGEREF _Toc31613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7F69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_Toc10681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A66C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_Toc25359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FD98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_Toc32285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B09F4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535412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B02DC5C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2CC4081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信息技术服务过程中产生的各类服务数据的管理，确保数据的准确性、完整性、安全性和可用性，通过对服务数据的有效采集、分析与应用，驱动服务能力提升、支持管理决策，并为ITSS符合性评估及服务改进提供客观依据，特制定本制度。</w:t>
      </w:r>
    </w:p>
    <w:p w14:paraId="78660126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适用范围</w:t>
      </w:r>
    </w:p>
    <w:p w14:paraId="61145A7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本制度适用于公司运维服务活动中产生的所有服务数据，涵盖其识别、采集、存储、处理、分析、应用、归档及销毁的全生命周期管理。涉及部门包括数智运营部、质量管理部、研究总院、应急管理部等。</w:t>
      </w:r>
    </w:p>
    <w:p w14:paraId="60D08845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定义与术语</w:t>
      </w:r>
    </w:p>
    <w:p w14:paraId="011EFE30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</w:t>
      </w:r>
    </w:p>
    <w:p w14:paraId="58E97FD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在运维服务交付、管理及支持过程中产生、记录和积累的所有结构化或非结构化数据，用于反映服务状态、质量、效率及客户满意度等信息。</w:t>
      </w:r>
    </w:p>
    <w:p w14:paraId="018F3049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服务数据全生命周期</w:t>
      </w:r>
    </w:p>
    <w:p w14:paraId="230DF90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指服务数据从产生（采集）、存储、处理、分析、应用、归档到最终销毁的完整过程。</w:t>
      </w:r>
    </w:p>
    <w:p w14:paraId="0465611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关键服务数据</w:t>
      </w:r>
    </w:p>
    <w:p w14:paraId="3E200F7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对服务级别协议（SLA）达成、根本原因分析、服务决策有重大影响的数据，如事件解决时长、系统可用率、客户满意度评分等。</w:t>
      </w:r>
    </w:p>
    <w:p w14:paraId="7DB2ABE3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管理职责</w:t>
      </w:r>
    </w:p>
    <w:p w14:paraId="7A90A7C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</w:t>
      </w:r>
    </w:p>
    <w:p w14:paraId="22ACB977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作为服务数据管理的归口部门，负责制定并维护本制度及实施细则。</w:t>
      </w:r>
    </w:p>
    <w:p w14:paraId="3383FB51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负责服务数据的日常采集、清洗、存储和维护，确保数据源的稳定与数据质量。</w:t>
      </w:r>
    </w:p>
    <w:p w14:paraId="6E4927B3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负责服务数据的常规分析与应用，编制服务报告（如SLA报告、运营月报）。</w:t>
      </w:r>
    </w:p>
    <w:p w14:paraId="54ECDC85">
      <w:pPr>
        <w:pStyle w:val="40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基于数据分析结果，识别服务改进点并推动落实。</w:t>
      </w:r>
    </w:p>
    <w:p w14:paraId="2071A4E9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质量管理部</w:t>
      </w:r>
    </w:p>
    <w:p w14:paraId="3DAC7D4A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负责监督服务数据管理过程的合规性及数据质量。</w:t>
      </w:r>
    </w:p>
    <w:p w14:paraId="0A8AF221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负责对服务数据分析结果进行评审，确认其用于管理评审与持续改进的有效性。</w:t>
      </w:r>
    </w:p>
    <w:p w14:paraId="09C038A8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负责组织基于服务数据的客户满意度调查与分析。</w:t>
      </w:r>
    </w:p>
    <w:p w14:paraId="04175ED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研究总院</w:t>
      </w:r>
    </w:p>
    <w:p w14:paraId="386FE8ED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负责提供或开发服务数据采集、存储与分析所需的技术工具与平台支持。</w:t>
      </w:r>
    </w:p>
    <w:p w14:paraId="4843AD98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协助解决服务数据管理过程中的重大技术问题。</w:t>
      </w:r>
    </w:p>
    <w:p w14:paraId="3D59A18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运维工程师</w:t>
      </w:r>
    </w:p>
    <w:p w14:paraId="0DF1A147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负责服务数据管理系统的日常操作与维护。</w:t>
      </w:r>
    </w:p>
    <w:p w14:paraId="14FD0A7C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负责执行数据的定期备份、归档与清理操作。</w:t>
      </w:r>
    </w:p>
    <w:p w14:paraId="5651EF98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协助进行基础的数据统计与报表生成。</w:t>
      </w:r>
    </w:p>
    <w:p w14:paraId="57975FCF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服务数据管理内容与流程</w:t>
      </w:r>
    </w:p>
    <w:p w14:paraId="5A5292A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数据的识别与采集</w:t>
      </w:r>
    </w:p>
    <w:p w14:paraId="416706EC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明确需采集的服务数据范围，主要包括：</w:t>
      </w:r>
    </w:p>
    <w:p w14:paraId="3B43B0EE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服务交付数据：事件/服务请求记录、解决时长、SLA达成率、变更成功率等。</w:t>
      </w:r>
    </w:p>
    <w:p w14:paraId="3A7DAD7F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资源监控数据： 系统性能指标（CPU、内存、磁盘、网络）、应用可用性、日志信息等。</w:t>
      </w:r>
    </w:p>
    <w:p w14:paraId="380510B9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客户反馈数据： 满意度调查结果、投诉与建议记录。</w:t>
      </w:r>
    </w:p>
    <w:p w14:paraId="2F3D1708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管理运营数据： 人员工时、知识库使用率、工具利用率、成本数据等。</w:t>
      </w:r>
    </w:p>
    <w:p w14:paraId="73AE7A3F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建立自动化采集机制，确保数据采集的及时性、准确性和完整性。人工录入数据需建立复核机制。</w:t>
      </w:r>
    </w:p>
    <w:p w14:paraId="6FE51D9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数据的存储与安全</w:t>
      </w:r>
    </w:p>
    <w:p w14:paraId="0329A881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服务数据应存储在安全、稳定、可控的专用存储系统或数据库中。</w:t>
      </w:r>
    </w:p>
    <w:p w14:paraId="1303571A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根据数据敏感级别，实施分级分类的访问控制策略，确保数据保密性。核心数据操作日志应完整记录并审计。</w:t>
      </w:r>
    </w:p>
    <w:p w14:paraId="2149952F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建立服务数据备份与恢复机制，定期验证备份有效性，防止数据丢失。</w:t>
      </w:r>
    </w:p>
    <w:p w14:paraId="65EAF5B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数据的处理与分析</w:t>
      </w:r>
    </w:p>
    <w:p w14:paraId="3AEF96AA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定期对采集的原始数据进行清洗、转换和整合，确保数据一致性。</w:t>
      </w:r>
    </w:p>
    <w:p w14:paraId="4917CD60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运用统计分析、趋势分析等方法，对服务数据进行多维度分析，形成：</w:t>
      </w:r>
    </w:p>
    <w:p w14:paraId="6272872E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运营性报告：反映实时或近期服务状态（如日报、周报）。</w:t>
      </w:r>
    </w:p>
    <w:p w14:paraId="0F28426B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战术性分析：识别流程瓶颈、资源瓶颈或重复发生的问题。</w:t>
      </w:r>
    </w:p>
    <w:p w14:paraId="248FF81D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战略性洞察：评估服务长期趋势，预测未来需求与风险。</w:t>
      </w:r>
    </w:p>
    <w:p w14:paraId="18B7468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数据的应用与改进</w:t>
      </w:r>
    </w:p>
    <w:p w14:paraId="4DF2E899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服务数据分析结果应应用于：</w:t>
      </w:r>
    </w:p>
    <w:p w14:paraId="64DCA2D3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服务报告：定期向客户及管理层提交SLA达成情况与服务绩效报告。</w:t>
      </w:r>
    </w:p>
    <w:p w14:paraId="1878B250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管理决策：为资源规划、预算制定、流程优化提供数据支持。</w:t>
      </w:r>
    </w:p>
    <w:p w14:paraId="710BBC23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持续改进：作为服务改进计划（如《服务改进措施表》）输入的根本依据。</w:t>
      </w:r>
    </w:p>
    <w:p w14:paraId="777B491B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知识积累：将分析获得的经验、模式转化为知识库条目。</w:t>
      </w:r>
    </w:p>
    <w:p w14:paraId="7DBD2124">
      <w:pPr>
        <w:pStyle w:val="29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质量管理部应组织对数据分析结论及改进措施有效性的评审。</w:t>
      </w:r>
    </w:p>
    <w:p w14:paraId="0837C43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数据的归档与销毁</w:t>
      </w:r>
    </w:p>
    <w:p w14:paraId="7FB42C86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定义不同类型服务数据的保留期限，符合法律法规及合同要求。</w:t>
      </w:r>
    </w:p>
    <w:p w14:paraId="607C5F32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到期数据应按规定流程安全归档或彻底销毁，并保留操作记录。</w:t>
      </w:r>
    </w:p>
    <w:p w14:paraId="134BB17C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附则</w:t>
      </w:r>
    </w:p>
    <w:p w14:paraId="71CF0B82">
      <w:pPr>
        <w:pStyle w:val="29"/>
        <w:numPr>
          <w:ilvl w:val="0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本制度自发布之日起执行，由数智运营部负责解释与修订。本制度与《服务台管理制度》、《服务知识管理制度》、《运维服务工具管理制度》等配套使用。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F798C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BC20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E1D44D"/>
    <w:multiLevelType w:val="singleLevel"/>
    <w:tmpl w:val="92E1D4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DC5FD62"/>
    <w:multiLevelType w:val="singleLevel"/>
    <w:tmpl w:val="ADC5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9E445F3"/>
    <w:multiLevelType w:val="singleLevel"/>
    <w:tmpl w:val="39E445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8EF7D1B"/>
    <w:rsid w:val="51DC77B1"/>
    <w:rsid w:val="573158BF"/>
    <w:rsid w:val="61C40F61"/>
    <w:rsid w:val="69343E08"/>
    <w:rsid w:val="7ACA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1743</Words>
  <Characters>1879</Characters>
  <Lines>0</Lines>
  <Paragraphs>0</Paragraphs>
  <TotalTime>0</TotalTime>
  <ScaleCrop>false</ScaleCrop>
  <LinksUpToDate>false</LinksUpToDate>
  <CharactersWithSpaces>1985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2026-01-16T19:20:52Z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