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21E3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71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080360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8417"/>
      <w:r>
        <w:rPr>
          <w:rFonts w:hint="eastAsia"/>
          <w:lang w:val="en-US" w:eastAsia="zh-CN"/>
        </w:rPr>
        <w:t>运维服务工具自评估报告</w:t>
      </w:r>
      <w:bookmarkEnd w:id="1"/>
    </w:p>
    <w:p w14:paraId="12F20F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0AD8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78EA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20F9C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2C6F5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926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FC739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7A1F3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76385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41ED4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 w14:paraId="2589FB9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5BB159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bookmarkStart w:id="2" w:name="_GoBack"/>
            <w:bookmarkEnd w:id="2"/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388346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E7728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528D6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_Toc25714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D878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运维服务工具自评估报告</w:t>
          </w:r>
          <w:r>
            <w:tab/>
          </w:r>
          <w:r>
            <w:fldChar w:fldCharType="begin"/>
          </w:r>
          <w:r>
            <w:instrText xml:space="preserve"> PAGEREF _Toc28417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94CE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23D4C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4CD67A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8AEF452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对运维工具使用情况进行评估,为后期工作提供指导意见</w:t>
      </w:r>
    </w:p>
    <w:tbl>
      <w:tblPr>
        <w:tblStyle w:val="26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147470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252529DE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6C22D823">
            <w:pPr>
              <w:pStyle w:val="27"/>
              <w:spacing w:line="303" w:lineRule="auto"/>
            </w:pPr>
          </w:p>
          <w:p w14:paraId="4FDDB876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3A176312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108A8E38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19B292DE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672DB286">
            <w:pPr>
              <w:spacing w:before="214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1DC18C44">
            <w:pPr>
              <w:spacing w:before="58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4843EE1E">
            <w:pPr>
              <w:spacing w:before="66" w:line="263" w:lineRule="auto"/>
              <w:ind w:right="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3C810779">
            <w:pPr>
              <w:pStyle w:val="27"/>
              <w:spacing w:line="303" w:lineRule="auto"/>
            </w:pPr>
          </w:p>
          <w:p w14:paraId="0182F29C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F146C99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546817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  <w:vMerge w:val="restart"/>
          </w:tcPr>
          <w:p w14:paraId="048A87F6">
            <w:pPr>
              <w:pStyle w:val="27"/>
              <w:spacing w:line="261" w:lineRule="auto"/>
            </w:pPr>
          </w:p>
          <w:p w14:paraId="07A1AEC3">
            <w:pPr>
              <w:pStyle w:val="27"/>
              <w:spacing w:line="261" w:lineRule="auto"/>
            </w:pPr>
          </w:p>
          <w:p w14:paraId="71637FA1">
            <w:pPr>
              <w:pStyle w:val="27"/>
              <w:spacing w:line="261" w:lineRule="auto"/>
            </w:pPr>
          </w:p>
          <w:p w14:paraId="792F44A1">
            <w:pPr>
              <w:pStyle w:val="27"/>
              <w:spacing w:line="262" w:lineRule="auto"/>
            </w:pPr>
          </w:p>
          <w:p w14:paraId="476BED3F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4FF96BD0">
            <w:pPr>
              <w:pStyle w:val="27"/>
              <w:spacing w:line="296" w:lineRule="auto"/>
            </w:pPr>
          </w:p>
          <w:p w14:paraId="4AD184F9">
            <w:pPr>
              <w:pStyle w:val="27"/>
              <w:spacing w:line="297" w:lineRule="auto"/>
            </w:pPr>
          </w:p>
          <w:p w14:paraId="44B2D31C">
            <w:pPr>
              <w:pStyle w:val="27"/>
              <w:spacing w:line="297" w:lineRule="auto"/>
            </w:pPr>
          </w:p>
          <w:p w14:paraId="13E6FE67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DASUSM平台</w:t>
            </w:r>
          </w:p>
        </w:tc>
        <w:tc>
          <w:tcPr>
            <w:tcW w:w="2874" w:type="dxa"/>
          </w:tcPr>
          <w:p w14:paraId="696A0875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DASUSM（明御 ® 运维审计与风险控制系统）集成了运维会话审计、身份权限管理、资产集中管控、工单流程管理等核心功能，还包含实时操作监控、风险策略告警、合规报表输出等模块，能够帮助企业对运维操作进行全流程安全管控与审计溯源，实现 “操作可追溯</w:t>
            </w:r>
          </w:p>
        </w:tc>
        <w:tc>
          <w:tcPr>
            <w:tcW w:w="2543" w:type="dxa"/>
          </w:tcPr>
          <w:p w14:paraId="28DCA193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晋城市数据局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2025大数据应用平台运维服务项目</w:t>
            </w:r>
          </w:p>
          <w:p w14:paraId="7AE27702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产业互联网共享服务平台运维</w:t>
            </w:r>
          </w:p>
        </w:tc>
        <w:tc>
          <w:tcPr>
            <w:tcW w:w="1986" w:type="dxa"/>
          </w:tcPr>
          <w:p w14:paraId="19AD12CB">
            <w:pPr>
              <w:pStyle w:val="27"/>
            </w:pPr>
          </w:p>
          <w:p w14:paraId="2531698C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 w14:paraId="62D98291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对ECS、RDS、SLB等云产品的资源负载、性能指标进行实时监控，如快速定位CPU利用率 100% 的云服务器并及时优化，保障业务系统稳定运行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借助其安全模块成功拦截了针对政务服务平台的 SQL 注入</w:t>
            </w:r>
          </w:p>
        </w:tc>
        <w:tc>
          <w:tcPr>
            <w:tcW w:w="1343" w:type="dxa"/>
          </w:tcPr>
          <w:p w14:paraId="13FF7C8B">
            <w:pPr>
              <w:pStyle w:val="27"/>
              <w:spacing w:line="261" w:lineRule="auto"/>
            </w:pPr>
          </w:p>
          <w:p w14:paraId="72734536">
            <w:pPr>
              <w:pStyle w:val="27"/>
              <w:spacing w:line="261" w:lineRule="auto"/>
            </w:pPr>
          </w:p>
          <w:p w14:paraId="082E7514">
            <w:pPr>
              <w:pStyle w:val="27"/>
              <w:spacing w:line="262" w:lineRule="auto"/>
            </w:pPr>
          </w:p>
          <w:p w14:paraId="13F6EF5D">
            <w:pPr>
              <w:pStyle w:val="27"/>
              <w:spacing w:line="262" w:lineRule="auto"/>
            </w:pPr>
          </w:p>
          <w:p w14:paraId="3B679F6A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徐超超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$1.11.$3</w:t>
            </w:r>
          </w:p>
        </w:tc>
      </w:tr>
      <w:tr w14:paraId="2A4DE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  <w:vMerge w:val="continue"/>
          </w:tcPr>
          <w:p w14:paraId="0457A654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</w:pPr>
          </w:p>
        </w:tc>
        <w:tc>
          <w:tcPr>
            <w:tcW w:w="1307" w:type="dxa"/>
          </w:tcPr>
          <w:p w14:paraId="68FCFC2B">
            <w:pPr>
              <w:spacing w:line="219" w:lineRule="auto"/>
              <w:ind w:left="184"/>
              <w:rPr>
                <w:rFonts w:hint="eastAsia"/>
                <w:lang w:val="en-US" w:eastAsia="zh-CN"/>
              </w:rPr>
            </w:pPr>
          </w:p>
          <w:p w14:paraId="3C1E8D32">
            <w:pPr>
              <w:spacing w:line="219" w:lineRule="auto"/>
              <w:ind w:left="184"/>
              <w:rPr>
                <w:rFonts w:hint="eastAsia"/>
                <w:lang w:val="en-US" w:eastAsia="zh-CN"/>
              </w:rPr>
            </w:pPr>
          </w:p>
          <w:p w14:paraId="7F76BB56">
            <w:pPr>
              <w:spacing w:line="219" w:lineRule="auto"/>
              <w:ind w:left="18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禅道项目管理工具</w:t>
            </w:r>
          </w:p>
        </w:tc>
        <w:tc>
          <w:tcPr>
            <w:tcW w:w="2874" w:type="dxa"/>
          </w:tcPr>
          <w:p w14:paraId="2913885E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集成了需求管理、任务分解、缺陷跟踪、测试用例管理 等核心功能，还包含 项目计划与进度看板、燃尽图、团队协作 等模块，能够帮助团队对项目全生命周期进行结构化、可视化的管控，实现 “过程全透明、进度可跟踪、责任可追溯” 的高效协同。</w:t>
            </w:r>
          </w:p>
        </w:tc>
        <w:tc>
          <w:tcPr>
            <w:tcW w:w="2543" w:type="dxa"/>
          </w:tcPr>
          <w:p w14:paraId="0ED30AB2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晋城市数据局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2025大数据应用平台运维服务项目</w:t>
            </w:r>
          </w:p>
          <w:p w14:paraId="06E21125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产业互联网共享服务平台运维</w:t>
            </w:r>
          </w:p>
        </w:tc>
        <w:tc>
          <w:tcPr>
            <w:tcW w:w="1986" w:type="dxa"/>
          </w:tcPr>
          <w:p w14:paraId="421EBAEB">
            <w:pPr>
              <w:spacing w:before="78" w:line="220" w:lineRule="auto"/>
              <w:ind w:left="56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0E3A5956">
            <w:pPr>
              <w:spacing w:before="78" w:line="220" w:lineRule="auto"/>
              <w:ind w:left="560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 w14:paraId="3EE99516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项目计划、任务进度、缺陷修复进行全过程跟踪管理。如快速定位并协同处理因需求变更导致的开发任务阻塞，确保关键里程碑的按时达成，保障项目交付物有序推进。借助其测试与缺陷管理模块，高效跟进并闭环了在上线前测试阶段发现的多个核心功能问题，保障了系统交付质量</w:t>
            </w:r>
          </w:p>
        </w:tc>
        <w:tc>
          <w:tcPr>
            <w:tcW w:w="1343" w:type="dxa"/>
          </w:tcPr>
          <w:p w14:paraId="0C2FD8C3">
            <w:pPr>
              <w:spacing w:before="26" w:line="239" w:lineRule="auto"/>
              <w:ind w:left="120"/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徐超超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$1.11.$3</w:t>
            </w:r>
          </w:p>
        </w:tc>
      </w:tr>
      <w:tr w14:paraId="77867B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0C17CD95">
            <w:pPr>
              <w:pStyle w:val="27"/>
            </w:pPr>
          </w:p>
          <w:p w14:paraId="54F37602">
            <w:pPr>
              <w:pStyle w:val="27"/>
            </w:pPr>
          </w:p>
          <w:p w14:paraId="5494057B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3FE2A37D">
            <w:pPr>
              <w:pStyle w:val="27"/>
              <w:spacing w:line="262" w:lineRule="auto"/>
            </w:pPr>
          </w:p>
          <w:p w14:paraId="79FA5BF9">
            <w:pPr>
              <w:pStyle w:val="27"/>
              <w:spacing w:line="262" w:lineRule="auto"/>
            </w:pPr>
          </w:p>
          <w:p w14:paraId="1B2A4F00">
            <w:pPr>
              <w:pStyle w:val="27"/>
              <w:spacing w:line="262" w:lineRule="auto"/>
            </w:pPr>
          </w:p>
          <w:p w14:paraId="6CBFCBBD">
            <w:pPr>
              <w:pStyle w:val="27"/>
              <w:spacing w:line="262" w:lineRule="auto"/>
            </w:pPr>
          </w:p>
          <w:p w14:paraId="05D9BC62">
            <w:pPr>
              <w:spacing w:before="78" w:line="242" w:lineRule="auto"/>
              <w:ind w:left="179" w:right="119" w:hanging="7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阿里云飞天企业版</w:t>
            </w:r>
          </w:p>
        </w:tc>
        <w:tc>
          <w:tcPr>
            <w:tcW w:w="2874" w:type="dxa"/>
          </w:tcPr>
          <w:p w14:paraId="53E70D43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成了云服务器（ECS）、云数据库（RDS）、负载均衡（SLB）、对象存储（OSS）等多种云产品的管理功能，还包含数据管理服务（DMS）、运维审计、监控等模块，能够帮助企业对云计算资源进行集中化、精细化的运营与管理，适用于政务、企业数字化转型等场景</w:t>
            </w:r>
          </w:p>
        </w:tc>
        <w:tc>
          <w:tcPr>
            <w:tcW w:w="2543" w:type="dxa"/>
          </w:tcPr>
          <w:p w14:paraId="2BC7EA29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晋城市数据局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2025大数据应用平台运维服务项目</w:t>
            </w:r>
          </w:p>
          <w:p w14:paraId="3A2ED982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产业互联网共享服务平台运维</w:t>
            </w:r>
          </w:p>
          <w:p w14:paraId="457171D7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晋城市产业互联网数字化共享服务平台</w:t>
            </w:r>
          </w:p>
        </w:tc>
        <w:tc>
          <w:tcPr>
            <w:tcW w:w="1986" w:type="dxa"/>
          </w:tcPr>
          <w:p w14:paraId="18938ACA">
            <w:pPr>
              <w:pStyle w:val="27"/>
            </w:pPr>
          </w:p>
          <w:p w14:paraId="4A7DB490">
            <w:pPr>
              <w:spacing w:before="78" w:line="221" w:lineRule="auto"/>
              <w:ind w:left="521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 w14:paraId="1EB7B4FA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通过身份认证与权限管控，将运维人员对核心数据库的权限精确到 “仅可执行查询语句、不可删改”；对所有运维会话进行录像与指令审计，在一次误操作事件中，通过回放某 DBA 的操作会话，快速定位到 “误删表” 的具体指令与时间，结合备份机制实现数据恢复</w:t>
            </w:r>
          </w:p>
        </w:tc>
        <w:tc>
          <w:tcPr>
            <w:tcW w:w="1343" w:type="dxa"/>
          </w:tcPr>
          <w:p w14:paraId="3C79853E">
            <w:pPr>
              <w:pStyle w:val="27"/>
              <w:spacing w:line="261" w:lineRule="auto"/>
            </w:pPr>
          </w:p>
          <w:p w14:paraId="569938F5">
            <w:pPr>
              <w:pStyle w:val="27"/>
              <w:spacing w:line="262" w:lineRule="auto"/>
            </w:pPr>
          </w:p>
          <w:p w14:paraId="748D1618">
            <w:pPr>
              <w:pStyle w:val="27"/>
              <w:spacing w:line="262" w:lineRule="auto"/>
            </w:pPr>
          </w:p>
          <w:p w14:paraId="27D4A7D0">
            <w:pPr>
              <w:pStyle w:val="27"/>
              <w:spacing w:line="262" w:lineRule="auto"/>
            </w:pPr>
          </w:p>
          <w:p w14:paraId="3A6916EB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徐超超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$1.11.$3</w:t>
            </w:r>
          </w:p>
        </w:tc>
      </w:tr>
    </w:tbl>
    <w:p w14:paraId="4BA75431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9BC1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F01EC0"/>
    <w:rsid w:val="539B25ED"/>
    <w:rsid w:val="60152EE6"/>
    <w:rsid w:val="6DAB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1039</Words>
  <Characters>1160</Characters>
  <Lines>0</Lines>
  <Paragraphs>0</Paragraphs>
  <TotalTime>0</TotalTime>
  <ScaleCrop>false</ScaleCrop>
  <LinksUpToDate>false</LinksUpToDate>
  <CharactersWithSpaces>1188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