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0DC9C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4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E909CD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515"/>
      <w:r>
        <w:rPr>
          <w:rFonts w:hint="eastAsia"/>
          <w:lang w:val="en-US" w:eastAsia="zh-CN"/>
        </w:rPr>
        <w:t>运维交付管理制度</w:t>
      </w:r>
      <w:bookmarkEnd w:id="1"/>
    </w:p>
    <w:p w14:paraId="16F336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B5D43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98489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9A370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8985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DC3BA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B4A2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5774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BB814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60D3B9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89FCE5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B487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1A1BD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C967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F1E79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5C350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6242E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882F1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7849F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7D5B1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B88D8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30D7C4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AD8FD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55333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4787C1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07A425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48C091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30317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4CAB7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30B25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61830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E9592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438C5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76BC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0DD79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CB5E9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346FE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54FD3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ADDC6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C6709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7DCCC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D152C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F27F4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61AD4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D0B5A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EAE7B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53895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98F5B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GoBack"/>
      <w:bookmarkEnd w:id="24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D91696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AF1DA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671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运维交付管理制度</w:t>
          </w:r>
          <w:r>
            <w:tab/>
          </w:r>
          <w:r>
            <w:fldChar w:fldCharType="begin"/>
          </w:r>
          <w:r>
            <w:instrText xml:space="preserve"> PAGEREF _Toc22515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EA7B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_Toc31345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A340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_Toc17913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48B8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_Toc16394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B2EC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服务交付</w:t>
          </w:r>
          <w:r>
            <w:tab/>
          </w:r>
          <w:r>
            <w:fldChar w:fldCharType="begin"/>
          </w:r>
          <w:r>
            <w:instrText xml:space="preserve"> PAGEREF _Toc6856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C71F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交付物</w:t>
          </w:r>
          <w:r>
            <w:tab/>
          </w:r>
          <w:r>
            <w:fldChar w:fldCharType="begin"/>
          </w:r>
          <w:r>
            <w:instrText xml:space="preserve"> PAGEREF _Toc21233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ACDD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交付经理</w:t>
          </w:r>
          <w:r>
            <w:tab/>
          </w:r>
          <w:r>
            <w:fldChar w:fldCharType="begin"/>
          </w:r>
          <w:r>
            <w:instrText xml:space="preserve"> PAGEREF _Toc10171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CF00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管理原则</w:t>
          </w:r>
          <w:r>
            <w:tab/>
          </w:r>
          <w:r>
            <w:fldChar w:fldCharType="begin"/>
          </w:r>
          <w:r>
            <w:instrText xml:space="preserve"> PAGEREF _Toc28216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0F5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_Toc22052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6BED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数智运营部</w:t>
          </w:r>
          <w:r>
            <w:tab/>
          </w:r>
          <w:r>
            <w:fldChar w:fldCharType="begin"/>
          </w:r>
          <w:r>
            <w:instrText xml:space="preserve"> PAGEREF _Toc3688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3ADC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质量管理部</w:t>
          </w:r>
          <w:r>
            <w:tab/>
          </w:r>
          <w:r>
            <w:fldChar w:fldCharType="begin"/>
          </w:r>
          <w:r>
            <w:instrText xml:space="preserve"> PAGEREF _Toc28404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FE4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研究总院</w:t>
          </w:r>
          <w:r>
            <w:tab/>
          </w:r>
          <w:r>
            <w:fldChar w:fldCharType="begin"/>
          </w:r>
          <w:r>
            <w:instrText xml:space="preserve"> PAGEREF _Toc25844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AD05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服务知识专员</w:t>
          </w:r>
          <w:r>
            <w:tab/>
          </w:r>
          <w:r>
            <w:fldChar w:fldCharType="begin"/>
          </w:r>
          <w:r>
            <w:instrText xml:space="preserve"> PAGEREF _Toc24824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B45F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交付内容与方式</w:t>
          </w:r>
          <w:r>
            <w:tab/>
          </w:r>
          <w:r>
            <w:fldChar w:fldCharType="begin"/>
          </w:r>
          <w:r>
            <w:instrText xml:space="preserve"> PAGEREF _Toc9237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764D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交付内容</w:t>
          </w:r>
          <w:r>
            <w:tab/>
          </w:r>
          <w:r>
            <w:fldChar w:fldCharType="begin"/>
          </w:r>
          <w:r>
            <w:instrText xml:space="preserve"> PAGEREF _Toc435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37FA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交付方式</w:t>
          </w:r>
          <w:r>
            <w:tab/>
          </w:r>
          <w:r>
            <w:fldChar w:fldCharType="begin"/>
          </w:r>
          <w:r>
            <w:instrText xml:space="preserve"> PAGEREF _Toc20132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53C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服务交付过程管理</w:t>
          </w:r>
          <w:r>
            <w:tab/>
          </w:r>
          <w:r>
            <w:fldChar w:fldCharType="begin"/>
          </w:r>
          <w:r>
            <w:instrText xml:space="preserve"> PAGEREF _Toc26208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48C7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交付策划</w:t>
          </w:r>
          <w:r>
            <w:tab/>
          </w:r>
          <w:r>
            <w:fldChar w:fldCharType="begin"/>
          </w:r>
          <w:r>
            <w:instrText xml:space="preserve"> PAGEREF _Toc21426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62C3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交付实施</w:t>
          </w:r>
          <w:r>
            <w:tab/>
          </w:r>
          <w:r>
            <w:fldChar w:fldCharType="begin"/>
          </w:r>
          <w:r>
            <w:instrText xml:space="preserve"> PAGEREF _Toc7581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20C8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交付检查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A0AB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交付回顾与改进</w:t>
          </w:r>
          <w:r>
            <w:tab/>
          </w:r>
          <w:r>
            <w:fldChar w:fldCharType="begin"/>
          </w:r>
          <w:r>
            <w:instrText xml:space="preserve"> PAGEREF _Toc6091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7FA0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交付物管理</w:t>
          </w:r>
          <w:r>
            <w:tab/>
          </w:r>
          <w:r>
            <w:fldChar w:fldCharType="begin"/>
          </w:r>
          <w:r>
            <w:instrText xml:space="preserve"> PAGEREF _Toc7939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14AF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_Toc15154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839A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33590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137693F">
      <w:pPr>
        <w:pStyle w:val="28"/>
        <w:bidi w:val="0"/>
        <w:rPr>
          <w:rFonts w:hint="default"/>
          <w:lang w:val="en-US" w:eastAsia="zh-CN"/>
        </w:rPr>
      </w:pPr>
      <w:bookmarkStart w:id="2" w:name="_Toc31345"/>
      <w:r>
        <w:rPr>
          <w:rFonts w:hint="default"/>
          <w:lang w:val="en-US" w:eastAsia="zh-CN"/>
        </w:rPr>
        <w:t>目的</w:t>
      </w:r>
      <w:bookmarkEnd w:id="2"/>
    </w:p>
    <w:p w14:paraId="0A20637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为规范公司软件运维服务的交付管理，明确交付内容、方式与质量标准，确保服务按既定协议有效交付，提升客户满意度与交付效率，并为ITSS符合性评估提供依据，特制定本制度。</w:t>
      </w:r>
    </w:p>
    <w:p w14:paraId="08B12008">
      <w:pPr>
        <w:pStyle w:val="28"/>
        <w:bidi w:val="0"/>
        <w:rPr>
          <w:rFonts w:hint="default"/>
          <w:lang w:val="en-US" w:eastAsia="zh-CN"/>
        </w:rPr>
      </w:pPr>
      <w:bookmarkStart w:id="3" w:name="_Toc17913"/>
      <w:r>
        <w:rPr>
          <w:rFonts w:hint="default"/>
          <w:lang w:val="en-US" w:eastAsia="zh-CN"/>
        </w:rPr>
        <w:t>适用范围</w:t>
      </w:r>
      <w:bookmarkEnd w:id="3"/>
    </w:p>
    <w:p w14:paraId="43301AF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本制度适用于公司向客户提供的所有软件运维服务（含基础软件、应用软件）的交付活动全过程管理。</w:t>
      </w:r>
    </w:p>
    <w:p w14:paraId="67C531FA">
      <w:pPr>
        <w:pStyle w:val="28"/>
        <w:bidi w:val="0"/>
        <w:rPr>
          <w:rFonts w:hint="default"/>
          <w:lang w:val="en-US" w:eastAsia="zh-CN"/>
        </w:rPr>
      </w:pPr>
      <w:bookmarkStart w:id="4" w:name="_Toc16394"/>
      <w:r>
        <w:rPr>
          <w:rFonts w:hint="default"/>
          <w:lang w:val="en-US" w:eastAsia="zh-CN"/>
        </w:rPr>
        <w:t>定义与术语</w:t>
      </w:r>
      <w:bookmarkEnd w:id="4"/>
    </w:p>
    <w:p w14:paraId="24744FC1">
      <w:pPr>
        <w:pStyle w:val="30"/>
        <w:bidi w:val="0"/>
        <w:rPr>
          <w:rFonts w:hint="default"/>
          <w:lang w:val="en-US" w:eastAsia="zh-CN"/>
        </w:rPr>
      </w:pPr>
      <w:bookmarkStart w:id="5" w:name="_Toc6856"/>
      <w:r>
        <w:rPr>
          <w:rFonts w:hint="default"/>
          <w:lang w:val="en-US" w:eastAsia="zh-CN"/>
        </w:rPr>
        <w:t>服务交付</w:t>
      </w:r>
      <w:bookmarkEnd w:id="5"/>
    </w:p>
    <w:p w14:paraId="4627D01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指依据《服务级别协议》（SLA），通过一系列组织协调、资源调配和技术活动，向客户提供约定服务并输出成果的完整过程。</w:t>
      </w:r>
    </w:p>
    <w:p w14:paraId="78CA5760">
      <w:pPr>
        <w:pStyle w:val="30"/>
        <w:bidi w:val="0"/>
        <w:rPr>
          <w:rFonts w:hint="default"/>
          <w:lang w:val="en-US" w:eastAsia="zh-CN"/>
        </w:rPr>
      </w:pPr>
      <w:bookmarkStart w:id="6" w:name="_Toc21233"/>
      <w:r>
        <w:rPr>
          <w:rFonts w:hint="default"/>
          <w:lang w:val="en-US" w:eastAsia="zh-CN"/>
        </w:rPr>
        <w:t>交付物</w:t>
      </w:r>
      <w:bookmarkEnd w:id="6"/>
    </w:p>
    <w:p w14:paraId="06CF2C3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服务交付过程中产生、需提交给客户或用于内部管理的有形或无形成果。</w:t>
      </w:r>
    </w:p>
    <w:p w14:paraId="35221106">
      <w:pPr>
        <w:pStyle w:val="30"/>
        <w:bidi w:val="0"/>
        <w:rPr>
          <w:rFonts w:hint="default"/>
          <w:lang w:val="en-US" w:eastAsia="zh-CN"/>
        </w:rPr>
      </w:pPr>
      <w:bookmarkStart w:id="7" w:name="_Toc10171"/>
      <w:r>
        <w:rPr>
          <w:rFonts w:hint="default"/>
          <w:lang w:val="en-US" w:eastAsia="zh-CN"/>
        </w:rPr>
        <w:t>交付经理</w:t>
      </w:r>
      <w:bookmarkEnd w:id="7"/>
    </w:p>
    <w:p w14:paraId="6296F36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项目层面由运维项目经理担任，负责具体项目的交付管理；部门层面由数智运营部经理负责监督与改进。</w:t>
      </w:r>
    </w:p>
    <w:p w14:paraId="2A152774">
      <w:pPr>
        <w:pStyle w:val="28"/>
        <w:bidi w:val="0"/>
        <w:rPr>
          <w:rFonts w:hint="default"/>
          <w:lang w:val="en-US" w:eastAsia="zh-CN"/>
        </w:rPr>
      </w:pPr>
      <w:bookmarkStart w:id="8" w:name="_Toc28216"/>
      <w:r>
        <w:rPr>
          <w:rFonts w:hint="default"/>
          <w:lang w:val="en-US" w:eastAsia="zh-CN"/>
        </w:rPr>
        <w:t>管理原则</w:t>
      </w:r>
      <w:bookmarkEnd w:id="8"/>
    </w:p>
    <w:p w14:paraId="2C2EF9D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客户价值导向： 以保障客户业务连续性和满足SLA为核心目标。</w:t>
      </w:r>
    </w:p>
    <w:p w14:paraId="07B51D5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过程标准可控： 遵循标准化的交付流程，确保过程可追溯、质量可控制。</w:t>
      </w:r>
    </w:p>
    <w:p w14:paraId="2059553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数据驱动决策： 基于服务数据监控和分析，支撑交付过程的优化与决策。</w:t>
      </w:r>
    </w:p>
    <w:p w14:paraId="4F6F2973">
      <w:pPr>
        <w:pStyle w:val="28"/>
        <w:bidi w:val="0"/>
        <w:rPr>
          <w:rFonts w:hint="default"/>
          <w:lang w:val="en-US" w:eastAsia="zh-CN"/>
        </w:rPr>
      </w:pPr>
      <w:bookmarkStart w:id="9" w:name="_Toc22052"/>
      <w:r>
        <w:rPr>
          <w:rFonts w:hint="default"/>
          <w:lang w:val="en-US" w:eastAsia="zh-CN"/>
        </w:rPr>
        <w:t>组织与职责</w:t>
      </w:r>
      <w:bookmarkEnd w:id="9"/>
    </w:p>
    <w:p w14:paraId="56A18830">
      <w:pPr>
        <w:pStyle w:val="30"/>
        <w:bidi w:val="0"/>
        <w:rPr>
          <w:rFonts w:hint="default"/>
          <w:lang w:val="en-US" w:eastAsia="zh-CN"/>
        </w:rPr>
      </w:pPr>
      <w:bookmarkStart w:id="10" w:name="_Toc3688"/>
      <w:r>
        <w:rPr>
          <w:rFonts w:hint="default"/>
          <w:lang w:val="en-US" w:eastAsia="zh-CN"/>
        </w:rPr>
        <w:t>数智运营部</w:t>
      </w:r>
      <w:bookmarkEnd w:id="10"/>
    </w:p>
    <w:p w14:paraId="2324438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部门经理：负责公司服务交付管理体系的建立、维护与监督；审批重大交付方案；组织对交付绩效的评审与改进。</w:t>
      </w:r>
    </w:p>
    <w:p w14:paraId="7D967E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运维项目经理：作为具体项目的交付负责人，负责项目交付策划、资源协调、过程监控、客户沟通及交付成果的最终确认。</w:t>
      </w:r>
    </w:p>
    <w:p w14:paraId="4632DA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服务台专员：作为统一接口，负责接收、记录、初步处理及闭环跟踪用户的服务请求与事件，是事件类服务交付的发起与跟踪者。</w:t>
      </w:r>
    </w:p>
    <w:p w14:paraId="7F6A66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运维工程师：负责具体技术服务的执行，是核心交付物的直接生产者。</w:t>
      </w:r>
    </w:p>
    <w:p w14:paraId="404E473E">
      <w:pPr>
        <w:pStyle w:val="30"/>
        <w:bidi w:val="0"/>
        <w:rPr>
          <w:rFonts w:hint="default"/>
          <w:lang w:val="en-US" w:eastAsia="zh-CN"/>
        </w:rPr>
      </w:pPr>
      <w:bookmarkStart w:id="11" w:name="_Toc28404"/>
      <w:r>
        <w:rPr>
          <w:rFonts w:hint="default"/>
          <w:lang w:val="en-US" w:eastAsia="zh-CN"/>
        </w:rPr>
        <w:t>质量管理部</w:t>
      </w:r>
      <w:bookmarkEnd w:id="11"/>
    </w:p>
    <w:p w14:paraId="653146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负责监督服务交付过程的合规性。</w:t>
      </w:r>
    </w:p>
    <w:p w14:paraId="086293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负责组织或参与重大交付物的质量评审与客户验收。</w:t>
      </w:r>
    </w:p>
    <w:p w14:paraId="7AD21F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负责组织客户满意度调查，收集交付质量反馈。</w:t>
      </w:r>
    </w:p>
    <w:p w14:paraId="0B4618D0">
      <w:pPr>
        <w:pStyle w:val="30"/>
        <w:bidi w:val="0"/>
        <w:rPr>
          <w:rFonts w:hint="default"/>
          <w:lang w:val="en-US" w:eastAsia="zh-CN"/>
        </w:rPr>
      </w:pPr>
      <w:bookmarkStart w:id="12" w:name="_Toc25844"/>
      <w:r>
        <w:rPr>
          <w:rFonts w:hint="default"/>
          <w:lang w:val="en-US" w:eastAsia="zh-CN"/>
        </w:rPr>
        <w:t>研究总院</w:t>
      </w:r>
      <w:bookmarkEnd w:id="12"/>
    </w:p>
    <w:p w14:paraId="4100E2D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负责为软件补丁、升级版本等交付活动提供符合发布标准的技术组件（参见《最终软件库管理制度》）。</w:t>
      </w:r>
    </w:p>
    <w:p w14:paraId="2ED5E9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在需要时，为复杂变更或故障排查提供专业技术支持。</w:t>
      </w:r>
    </w:p>
    <w:p w14:paraId="7A94E225">
      <w:pPr>
        <w:pStyle w:val="30"/>
        <w:bidi w:val="0"/>
        <w:rPr>
          <w:rFonts w:hint="default"/>
          <w:lang w:val="en-US" w:eastAsia="zh-CN"/>
        </w:rPr>
      </w:pPr>
      <w:bookmarkStart w:id="13" w:name="_Toc24824"/>
      <w:r>
        <w:rPr>
          <w:rFonts w:hint="default"/>
          <w:lang w:val="en-US" w:eastAsia="zh-CN"/>
        </w:rPr>
        <w:t>服务知识专员</w:t>
      </w:r>
      <w:bookmarkEnd w:id="13"/>
    </w:p>
    <w:p w14:paraId="76FB338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负责在交付过程中，推动将解决方案、经验教训转化为知识条目（参见《服务知识管理制度》）。</w:t>
      </w:r>
    </w:p>
    <w:p w14:paraId="14958FF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协助交付团队从知识库中获取历史解决方案，提升交付效率。</w:t>
      </w:r>
    </w:p>
    <w:p w14:paraId="7444DC72">
      <w:pPr>
        <w:pStyle w:val="28"/>
        <w:bidi w:val="0"/>
        <w:rPr>
          <w:rFonts w:hint="default"/>
          <w:lang w:val="en-US" w:eastAsia="zh-CN"/>
        </w:rPr>
      </w:pPr>
      <w:bookmarkStart w:id="14" w:name="_Toc9237"/>
      <w:r>
        <w:rPr>
          <w:rFonts w:hint="default"/>
          <w:lang w:val="en-US" w:eastAsia="zh-CN"/>
        </w:rPr>
        <w:t>交付内容与方式</w:t>
      </w:r>
      <w:bookmarkEnd w:id="14"/>
    </w:p>
    <w:p w14:paraId="36DD9384">
      <w:pPr>
        <w:pStyle w:val="30"/>
        <w:bidi w:val="0"/>
        <w:rPr>
          <w:rFonts w:hint="default"/>
          <w:lang w:val="en-US" w:eastAsia="zh-CN"/>
        </w:rPr>
      </w:pPr>
      <w:bookmarkStart w:id="15" w:name="_Toc435"/>
      <w:r>
        <w:rPr>
          <w:rFonts w:hint="default"/>
          <w:lang w:val="en-US" w:eastAsia="zh-CN"/>
        </w:rPr>
        <w:t>交付内容</w:t>
      </w:r>
      <w:bookmarkEnd w:id="15"/>
    </w:p>
    <w:p w14:paraId="4E47FC4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本公司作为纯软件运维服务商，核心交付内容包括但不限于：</w:t>
      </w:r>
    </w:p>
    <w:p w14:paraId="03CC7B8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事件解决服务：针对软件系统出现的故障、错误或性能下降等问题，提供诊断、定位、修复及验证，恢复系统正常功能。</w:t>
      </w:r>
    </w:p>
    <w:p w14:paraId="7F1355E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服务请求响应：响应用户关于软件使用、配置、咨询、数据提取等标准化请求，并提供解决方案或结果。</w:t>
      </w:r>
    </w:p>
    <w:p w14:paraId="61CE791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变更与发布服务：执行经批准的软件版本发布、补丁安装、配置变更等活动，确保变更过程受控、风险最小化。</w:t>
      </w:r>
    </w:p>
    <w:p w14:paraId="53E9AFD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例行运维服务：包括系统健康检查、性能监控、日志分析、备份验证等预防性维护活动。</w:t>
      </w:r>
    </w:p>
    <w:p w14:paraId="01E7BD2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服务报告：定期（如月度、季度）提供的《服务级别达成报告》、《运维分析报告》等，反映服务绩效与运行状态。</w:t>
      </w:r>
    </w:p>
    <w:p w14:paraId="1DFE163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知识传递：在服务过程中向客户提供的操作指导、最佳实践分享以及沉淀至知识库的解决方案。</w:t>
      </w:r>
    </w:p>
    <w:p w14:paraId="2CB9D990">
      <w:pPr>
        <w:pStyle w:val="30"/>
        <w:bidi w:val="0"/>
        <w:rPr>
          <w:rFonts w:hint="default"/>
          <w:lang w:val="en-US" w:eastAsia="zh-CN"/>
        </w:rPr>
      </w:pPr>
      <w:bookmarkStart w:id="16" w:name="_Toc20132"/>
      <w:r>
        <w:rPr>
          <w:rFonts w:hint="default"/>
          <w:lang w:val="en-US" w:eastAsia="zh-CN"/>
        </w:rPr>
        <w:t>交付方式</w:t>
      </w:r>
      <w:bookmarkEnd w:id="16"/>
    </w:p>
    <w:p w14:paraId="62EE4A2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根据服务场景和客户需求，主要采用以下交付方式：</w:t>
      </w:r>
    </w:p>
    <w:p w14:paraId="17FED59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远程交付：为主要交付方式。工程师通过安全的网络连接，利用运维工具（参见《运维服务工具管理制度》）对客户软件系统进行远程监控、诊断、修复和操作。适用于绝大多数事件处理、服务请求和例行维护。</w:t>
      </w:r>
    </w:p>
    <w:p w14:paraId="35A90B6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现场交付：在远程无法解决或客户合同明确要求的情况下，指派工程师至客户现场提供服务。适用于重大故障紧急处理、复杂变更实施或特定现场培训等场景。</w:t>
      </w:r>
    </w:p>
    <w:p w14:paraId="192389A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自动化交付：通过自动化监控平台和脚本工具，对常规、重复性的巡检、备份、告警响应等任务进行无人值守自动执行与结果报告。</w:t>
      </w:r>
    </w:p>
    <w:p w14:paraId="5ADB417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报告与会议交付：通过电子邮件、客户门户或在线会议等形式，定期或按需交付服务报告，并进行服务回顾沟通。</w:t>
      </w:r>
    </w:p>
    <w:p w14:paraId="033899CC">
      <w:pPr>
        <w:pStyle w:val="28"/>
        <w:bidi w:val="0"/>
        <w:rPr>
          <w:rFonts w:hint="default"/>
          <w:lang w:val="en-US" w:eastAsia="zh-CN"/>
        </w:rPr>
      </w:pPr>
      <w:bookmarkStart w:id="17" w:name="_Toc26208"/>
      <w:r>
        <w:rPr>
          <w:rFonts w:hint="default"/>
          <w:lang w:val="en-US" w:eastAsia="zh-CN"/>
        </w:rPr>
        <w:t>服务交付过程管理</w:t>
      </w:r>
      <w:bookmarkEnd w:id="17"/>
    </w:p>
    <w:p w14:paraId="06C787CF">
      <w:pPr>
        <w:pStyle w:val="30"/>
        <w:bidi w:val="0"/>
        <w:rPr>
          <w:rFonts w:hint="default"/>
          <w:lang w:val="en-US" w:eastAsia="zh-CN"/>
        </w:rPr>
      </w:pPr>
      <w:bookmarkStart w:id="18" w:name="_Toc21426"/>
      <w:r>
        <w:rPr>
          <w:rFonts w:hint="default"/>
          <w:lang w:val="en-US" w:eastAsia="zh-CN"/>
        </w:rPr>
        <w:t>交付策划</w:t>
      </w:r>
      <w:bookmarkEnd w:id="18"/>
    </w:p>
    <w:p w14:paraId="1F513A3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输入：SLA、项目合同、客户特定要求。</w:t>
      </w:r>
    </w:p>
    <w:p w14:paraId="7542086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活动：运维项目经理制定《服务交付计划》，明确交付范围、资源计划、沟通机制、风险预案及关键里程碑。</w:t>
      </w:r>
    </w:p>
    <w:p w14:paraId="6107792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输出：经批准的《服务交付计划》。</w:t>
      </w:r>
    </w:p>
    <w:p w14:paraId="7B7BB17B">
      <w:pPr>
        <w:pStyle w:val="30"/>
        <w:bidi w:val="0"/>
        <w:rPr>
          <w:rFonts w:hint="default"/>
          <w:lang w:val="en-US" w:eastAsia="zh-CN"/>
        </w:rPr>
      </w:pPr>
      <w:bookmarkStart w:id="19" w:name="_Toc7581"/>
      <w:r>
        <w:rPr>
          <w:rFonts w:hint="default"/>
          <w:lang w:val="en-US" w:eastAsia="zh-CN"/>
        </w:rPr>
        <w:t>交付实施</w:t>
      </w:r>
      <w:bookmarkEnd w:id="19"/>
    </w:p>
    <w:p w14:paraId="0E2854B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流程触发：服务请求/事件通过服务台统一接入（依据《服务台管理制度》）。</w:t>
      </w:r>
    </w:p>
    <w:p w14:paraId="2F1C887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资源调用：工程师使用授权运维工具、查询知识库、申请最终软件库版本（依据相关制度）。</w:t>
      </w:r>
    </w:p>
    <w:p w14:paraId="03BE522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执行与记录：严格按照流程解决事件、实施变更或执行维护，并在工单系统中实时、完整记录过程与结果。</w:t>
      </w:r>
    </w:p>
    <w:p w14:paraId="4883DBA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客户确认：服务台进行回访，获取客户对处理结果的确认。</w:t>
      </w:r>
    </w:p>
    <w:p w14:paraId="3952AE5D">
      <w:pPr>
        <w:pStyle w:val="30"/>
        <w:bidi w:val="0"/>
        <w:rPr>
          <w:rFonts w:hint="default"/>
          <w:lang w:val="en-US" w:eastAsia="zh-CN"/>
        </w:rPr>
      </w:pPr>
      <w:bookmarkStart w:id="20" w:name="_Toc15337"/>
      <w:r>
        <w:rPr>
          <w:rFonts w:hint="default"/>
          <w:lang w:val="en-US" w:eastAsia="zh-CN"/>
        </w:rPr>
        <w:t>交付检查</w:t>
      </w:r>
      <w:bookmarkEnd w:id="20"/>
    </w:p>
    <w:p w14:paraId="46A698C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为确保交付质量与合规性，建立三级检查机制：</w:t>
      </w:r>
    </w:p>
    <w:p w14:paraId="5858AB9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过程自查：</w:t>
      </w:r>
    </w:p>
    <w:p w14:paraId="745F294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在完成每项交付活动后，对操作记录、解决效果进行自查。</w:t>
      </w:r>
    </w:p>
    <w:p w14:paraId="57BFE57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质量监控：</w:t>
      </w:r>
    </w:p>
    <w:p w14:paraId="125A999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实时监控：服务台监控工单响应与解决时限。</w:t>
      </w:r>
    </w:p>
    <w:p w14:paraId="678812D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抽样审核：运维项目经理定期抽样检查已关闭工单的处理质量与记录规范性。</w:t>
      </w:r>
    </w:p>
    <w:p w14:paraId="3C46687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独立审计：</w:t>
      </w:r>
    </w:p>
    <w:p w14:paraId="5266B5EB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合规性审计： 定期审计交付过程是否符合本制度及SLA要求。</w:t>
      </w:r>
    </w:p>
    <w:p w14:paraId="78C0FF93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交付物审计： 对提交给客户的服务报告等关键交付物进行内容准确性、格式规范性审查。</w:t>
      </w:r>
    </w:p>
    <w:p w14:paraId="7C36BF99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客户满意度调查： 定期组织，直接获取客户对交付质量的评价。</w:t>
      </w:r>
    </w:p>
    <w:p w14:paraId="442AED60">
      <w:pPr>
        <w:pStyle w:val="30"/>
        <w:bidi w:val="0"/>
        <w:rPr>
          <w:rFonts w:hint="default"/>
          <w:lang w:val="en-US" w:eastAsia="zh-CN"/>
        </w:rPr>
      </w:pPr>
      <w:bookmarkStart w:id="21" w:name="_Toc6091"/>
      <w:r>
        <w:rPr>
          <w:rFonts w:hint="default"/>
          <w:lang w:val="en-US" w:eastAsia="zh-CN"/>
        </w:rPr>
        <w:t>交付回顾与改进</w:t>
      </w:r>
      <w:bookmarkEnd w:id="21"/>
    </w:p>
    <w:p w14:paraId="1BA83F2E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项目级回顾：运维项目经理每月主持召开项目交付例会，分析SLA数据、重大事件，制定改进措施。</w:t>
      </w:r>
    </w:p>
    <w:p w14:paraId="6CF6759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部门级评审：数智运营部经理每季度组织评审会，基于《服务数据管理制度》的分析报告，识别体系性问题，并更新交付流程或资源规划。</w:t>
      </w:r>
    </w:p>
    <w:p w14:paraId="778D3B67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改进闭环：所有改进措施需纳入《服务改进措施表》跟踪，并在后续交付活动中验证其有效性。</w:t>
      </w:r>
    </w:p>
    <w:p w14:paraId="25EAA43F">
      <w:pPr>
        <w:pStyle w:val="28"/>
        <w:bidi w:val="0"/>
        <w:rPr>
          <w:rFonts w:hint="default"/>
          <w:lang w:val="en-US" w:eastAsia="zh-CN"/>
        </w:rPr>
      </w:pPr>
      <w:bookmarkStart w:id="22" w:name="_Toc7939"/>
      <w:r>
        <w:rPr>
          <w:rFonts w:hint="default"/>
          <w:lang w:val="en-US" w:eastAsia="zh-CN"/>
        </w:rPr>
        <w:t>交付物管理</w:t>
      </w:r>
      <w:bookmarkEnd w:id="22"/>
    </w:p>
    <w:p w14:paraId="0727883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交付物（工单记录、服务报告、变更记录、知识条目等）均为公司服务资产，须在公司指定的管理系统中存储、归档，确保其完整性、安全性与可追溯性。归档期限应符合合同、法规及《服务数据管理制度》的要求。</w:t>
      </w:r>
    </w:p>
    <w:p w14:paraId="4EBF3AD2">
      <w:pPr>
        <w:pStyle w:val="28"/>
        <w:bidi w:val="0"/>
        <w:rPr>
          <w:rFonts w:hint="default"/>
          <w:lang w:val="en-US" w:eastAsia="zh-CN"/>
        </w:rPr>
      </w:pPr>
      <w:bookmarkStart w:id="23" w:name="_Toc15154"/>
      <w:r>
        <w:rPr>
          <w:rFonts w:hint="default"/>
          <w:lang w:val="en-US" w:eastAsia="zh-CN"/>
        </w:rPr>
        <w:t>附则</w:t>
      </w:r>
      <w:bookmarkEnd w:id="23"/>
    </w:p>
    <w:p w14:paraId="58E5E40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数智运营部负责解释与修订。本制度与公司《服务台管理制度》、《运维服务工具管理制度》、《服务知识管理制度》、《最终软件库管理制度》及《服务数据管理制度》共同构成完整的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9ABE1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D6CAD"/>
    <w:multiLevelType w:val="singleLevel"/>
    <w:tmpl w:val="84AD6CA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43E92A"/>
    <w:multiLevelType w:val="singleLevel"/>
    <w:tmpl w:val="8543E9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7A13BAF"/>
    <w:multiLevelType w:val="singleLevel"/>
    <w:tmpl w:val="97A13BA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982BA49F"/>
    <w:multiLevelType w:val="singleLevel"/>
    <w:tmpl w:val="982BA4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CC2960"/>
    <w:multiLevelType w:val="singleLevel"/>
    <w:tmpl w:val="CACC296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543818FF"/>
    <w:multiLevelType w:val="singleLevel"/>
    <w:tmpl w:val="54381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762E91"/>
    <w:rsid w:val="0C5B233E"/>
    <w:rsid w:val="141352AC"/>
    <w:rsid w:val="14EF207A"/>
    <w:rsid w:val="2EE7693B"/>
    <w:rsid w:val="2EFE3E42"/>
    <w:rsid w:val="311F5D69"/>
    <w:rsid w:val="35781C6D"/>
    <w:rsid w:val="379523B5"/>
    <w:rsid w:val="3B2714BA"/>
    <w:rsid w:val="42D257AE"/>
    <w:rsid w:val="458A2D71"/>
    <w:rsid w:val="56313A23"/>
    <w:rsid w:val="57DF0C57"/>
    <w:rsid w:val="585D7471"/>
    <w:rsid w:val="5BC85F49"/>
    <w:rsid w:val="65C0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2473</Words>
  <Characters>2589</Characters>
  <Lines>0</Lines>
  <Paragraphs>0</Paragraphs>
  <TotalTime>0</TotalTime>
  <ScaleCrop>false</ScaleCrop>
  <LinksUpToDate>false</LinksUpToDate>
  <CharactersWithSpaces>2689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2026-01-16T19:24:23Z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