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GoBack"/>
      <w:bookmarkStart w:id="1" w:name="_Toc1857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1"/>
    </w:p>
    <w:p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ascii="黑体" w:eastAsia="黑体" w:hAnsi="黑体" w:cs="黑体" w:hint="eastAsia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ascii="黑体" w:eastAsia="黑体" w:hAnsi="黑体" w:cs="黑体" w:hint="eastAsia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晋城市产业互联网数字化</w:t>
      </w:r>
    </w:p>
    <w:p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ascii="黑体" w:eastAsia="黑体" w:hAnsi="黑体" w:cs="黑体" w:hint="default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ascii="黑体" w:eastAsia="黑体" w:hAnsi="黑体" w:cs="黑体" w:hint="eastAsia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共享服务平台</w:t>
      </w:r>
      <w:r>
        <w:rPr>
          <w:rFonts w:ascii="黑体" w:eastAsia="黑体" w:hAnsi="黑体" w:cs="黑体" w:hint="default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运维项目</w:t>
      </w:r>
      <w:r>
        <w:rPr>
          <w:rFonts w:ascii="黑体" w:eastAsia="黑体" w:hAnsi="黑体" w:cs="黑体" w:hint="eastAsia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实施方案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2025.05.20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涂志云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_Toc1857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_Toc11815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_Toc11815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项目实施总体规划</w:t>
          </w:r>
          <w:r>
            <w:tab/>
          </w:r>
          <w:r>
            <w:fldChar w:fldCharType="begin"/>
          </w:r>
          <w:r>
            <w:instrText xml:space="preserve"> PAGEREF _Toc31446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分阶段实施内容</w:t>
          </w:r>
          <w:r>
            <w:tab/>
          </w:r>
          <w:r>
            <w:fldChar w:fldCharType="begin"/>
          </w:r>
          <w:r>
            <w:instrText xml:space="preserve"> PAGEREF _Toc29392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_Toc19004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项目启动与规划</w:t>
          </w:r>
          <w:r>
            <w:tab/>
          </w:r>
          <w:r>
            <w:fldChar w:fldCharType="begin"/>
          </w:r>
          <w:r>
            <w:instrText xml:space="preserve"> PAGEREF _Toc19004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_Toc14749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服务交接与基线建立</w:t>
          </w:r>
          <w:r>
            <w:tab/>
          </w:r>
          <w:r>
            <w:fldChar w:fldCharType="begin"/>
          </w:r>
          <w:r>
            <w:instrText xml:space="preserve"> PAGEREF _Toc14749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3.2.1. 环境与权限交接</w:t>
          </w:r>
          <w:r>
            <w:tab/>
          </w:r>
          <w:r>
            <w:fldChar w:fldCharType="begin"/>
          </w:r>
          <w:r>
            <w:instrText xml:space="preserve"> PAGEREF _Toc12156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3.2.2. 服务基线建立</w:t>
          </w:r>
          <w:r>
            <w:tab/>
          </w:r>
          <w:r>
            <w:fldChar w:fldCharType="begin"/>
          </w:r>
          <w:r>
            <w:instrText xml:space="preserve"> PAGEREF _Toc21255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_Toc9565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3.2.3. 运维系统初始化</w:t>
          </w:r>
          <w:r>
            <w:tab/>
          </w:r>
          <w:r>
            <w:fldChar w:fldCharType="begin"/>
          </w:r>
          <w:r>
            <w:instrText xml:space="preserve"> PAGEREF _Toc9565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_Toc21031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标准化运维服务执行</w:t>
          </w:r>
          <w:r>
            <w:tab/>
          </w:r>
          <w:r>
            <w:fldChar w:fldCharType="begin"/>
          </w:r>
          <w:r>
            <w:instrText xml:space="preserve"> PAGEREF _Toc21031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_Toc4183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3.3.1. 服务台</w:t>
          </w:r>
          <w:r>
            <w:rPr>
              <w:rFonts w:hint="eastAsia"/>
              <w:lang w:val="en-US" w:eastAsia="zh-CN"/>
            </w:rPr>
            <w:t>专员</w:t>
          </w:r>
          <w:r>
            <w:tab/>
          </w:r>
          <w:r>
            <w:fldChar w:fldCharType="begin"/>
          </w:r>
          <w:r>
            <w:instrText xml:space="preserve"> PAGEREF _Toc4183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_Toc14414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3.3.2. 事件与问题管理</w:t>
          </w:r>
          <w:r>
            <w:tab/>
          </w:r>
          <w:r>
            <w:fldChar w:fldCharType="begin"/>
          </w:r>
          <w:r>
            <w:instrText xml:space="preserve"> PAGEREF _Toc14414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_Toc18505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3.3.3. 变更与配置管理</w:t>
          </w:r>
          <w:r>
            <w:tab/>
          </w:r>
          <w:r>
            <w:fldChar w:fldCharType="begin"/>
          </w:r>
          <w:r>
            <w:instrText xml:space="preserve"> PAGEREF _Toc18505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3.3.4. 日常运维作业</w:t>
          </w:r>
          <w:r>
            <w:tab/>
          </w:r>
          <w:r>
            <w:fldChar w:fldCharType="begin"/>
          </w:r>
          <w:r>
            <w:instrText xml:space="preserve"> PAGEREF _Toc12902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服务持续监控与优化</w:t>
          </w:r>
          <w:r>
            <w:tab/>
          </w:r>
          <w:r>
            <w:fldChar w:fldCharType="begin"/>
          </w:r>
          <w:r>
            <w:instrText xml:space="preserve"> PAGEREF _Toc20692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_Toc7785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服务回顾与周期续约准备</w:t>
          </w:r>
          <w:r>
            <w:tab/>
          </w:r>
          <w:r>
            <w:fldChar w:fldCharType="begin"/>
          </w:r>
          <w:r>
            <w:instrText xml:space="preserve"> PAGEREF _Toc7785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_Toc15744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3.5.1. 服务总结报告</w:t>
          </w:r>
          <w:r>
            <w:tab/>
          </w:r>
          <w:r>
            <w:fldChar w:fldCharType="begin"/>
          </w:r>
          <w:r>
            <w:instrText xml:space="preserve"> PAGEREF _Toc15744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3.5.2. 知识移交</w:t>
          </w:r>
          <w:r>
            <w:tab/>
          </w:r>
          <w:r>
            <w:fldChar w:fldCharType="begin"/>
          </w:r>
          <w:r>
            <w:instrText xml:space="preserve"> PAGEREF _Toc361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资源与保障措施</w:t>
          </w:r>
          <w:r>
            <w:tab/>
          </w:r>
          <w:r>
            <w:fldChar w:fldCharType="begin"/>
          </w:r>
          <w:r>
            <w:instrText xml:space="preserve"> PAGEREF _Toc26647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_Toc6910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团队保障</w:t>
          </w:r>
          <w:r>
            <w:tab/>
          </w:r>
          <w:r>
            <w:fldChar w:fldCharType="begin"/>
          </w:r>
          <w:r>
            <w:instrText xml:space="preserve"> PAGEREF _Toc6910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_Toc4833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运维保障</w:t>
          </w:r>
          <w:r>
            <w:tab/>
          </w:r>
          <w:r>
            <w:fldChar w:fldCharType="begin"/>
          </w:r>
          <w:r>
            <w:instrText xml:space="preserve"> PAGEREF _Toc4833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过程与质量保障</w:t>
          </w:r>
          <w:r>
            <w:tab/>
          </w:r>
          <w:r>
            <w:fldChar w:fldCharType="begin"/>
          </w:r>
          <w:r>
            <w:instrText xml:space="preserve"> PAGEREF _Toc26912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_Toc7582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风险与应对策略</w:t>
          </w:r>
          <w:r>
            <w:tab/>
          </w:r>
          <w:r>
            <w:fldChar w:fldCharType="begin"/>
          </w:r>
          <w:r>
            <w:instrText xml:space="preserve"> PAGEREF _Toc7582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_Toc18343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付款条件风险</w:t>
          </w:r>
          <w:r>
            <w:tab/>
          </w:r>
          <w:r>
            <w:fldChar w:fldCharType="begin"/>
          </w:r>
          <w:r>
            <w:instrText xml:space="preserve"> PAGEREF _Toc18343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_Toc27505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SLA违约风险</w:t>
          </w:r>
          <w:r>
            <w:tab/>
          </w:r>
          <w:r>
            <w:fldChar w:fldCharType="begin"/>
          </w:r>
          <w:r>
            <w:instrText xml:space="preserve"> PAGEREF _Toc27505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人员流动风险</w:t>
          </w:r>
          <w:r>
            <w:tab/>
          </w:r>
          <w:r>
            <w:fldChar w:fldCharType="begin"/>
          </w:r>
          <w:r>
            <w:instrText xml:space="preserve"> PAGEREF _Toc28947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安全事件风险</w:t>
          </w:r>
          <w:r>
            <w:tab/>
          </w:r>
          <w:r>
            <w:fldChar w:fldCharType="begin"/>
          </w:r>
          <w:r>
            <w:instrText xml:space="preserve"> PAGEREF _Toc18721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1815"/>
      <w:r>
        <w:rPr>
          <w:rFonts w:hint="default"/>
          <w:lang w:val="en-US" w:eastAsia="zh-CN"/>
        </w:rPr>
        <w:t>项目概述</w:t>
      </w:r>
      <w:bookmarkEnd w:id="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本方案旨在规划与指导“晋城市大数据应用平台运维服务项目”的实施，确保所有工作严格遵循双方签订的《</w:t>
      </w:r>
      <w:r>
        <w:rPr>
          <w:rFonts w:hint="eastAsia"/>
          <w:lang w:val="en-US" w:eastAsia="zh-CN"/>
        </w:rPr>
        <w:t>运维项目合同书</w:t>
      </w:r>
      <w:r>
        <w:rPr>
          <w:rFonts w:hint="default"/>
          <w:lang w:val="en-US" w:eastAsia="zh-CN"/>
        </w:rPr>
        <w:t>》条款，按期、保质、保量地完成软硬件交付、系统集成、培训与验收，并履行合同约定的长期运维服务承诺。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31446"/>
      <w:r>
        <w:rPr>
          <w:rFonts w:hint="default"/>
          <w:lang w:val="en-US" w:eastAsia="zh-CN"/>
        </w:rPr>
        <w:t>项目实施总体规划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本项目实施自合同签订之日起，</w:t>
      </w:r>
      <w:r>
        <w:rPr>
          <w:rFonts w:hint="eastAsia"/>
          <w:lang w:val="en-US" w:eastAsia="zh-CN"/>
        </w:rPr>
        <w:t>在运维服务期内持续提供运维服务并</w:t>
      </w:r>
      <w:r>
        <w:rPr>
          <w:rFonts w:hint="default"/>
          <w:lang w:val="en-US" w:eastAsia="zh-CN"/>
        </w:rPr>
        <w:t>完成交付与验收，整体分为五个连续阶段：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项目启动与团队入驻（第1周）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服务交接与基线建立（第2-3周）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标准化运维服务执行（第4周 - 服务期满前1个月）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服务持续监控与优化（全周期）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服务回顾与周期续约准备（服务期满前1个月至结束）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9392"/>
      <w:r>
        <w:rPr>
          <w:rFonts w:hint="default"/>
          <w:lang w:val="en-US" w:eastAsia="zh-CN"/>
        </w:rPr>
        <w:t>分阶段实施内容</w:t>
      </w:r>
      <w:bookmarkEnd w:id="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9004"/>
      <w:r>
        <w:rPr>
          <w:rFonts w:hint="default"/>
          <w:lang w:val="en-US" w:eastAsia="zh-CN"/>
        </w:rPr>
        <w:t>项目启动与规划</w:t>
      </w:r>
      <w:bookmarkEnd w:id="5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合同澄清与会签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与甲方召开项目启动会，首要澄清合同付款条款的歧义，明确最终付款条件与比例。同时，确认并书面记录交付地点。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团队组建与报审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成立项目部，任命符合合同要求的项目经理及成员，并向甲方提交人员名单、资质证明供审核确认。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计划文档编制与提交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编制并提交《详细项目计划》、《实施方案》、《应急预案》、《安全责任书》、《质量管理计划》及《培训计划》等，供甲方审定。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4749"/>
      <w:r>
        <w:rPr>
          <w:rFonts w:hint="default"/>
          <w:lang w:val="en-US" w:eastAsia="zh-CN"/>
        </w:rPr>
        <w:t>服务交接与基线建立</w:t>
      </w:r>
      <w:bookmarkEnd w:id="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2156"/>
      <w:r>
        <w:rPr>
          <w:rFonts w:hint="default"/>
          <w:lang w:val="en-US" w:eastAsia="zh-CN"/>
        </w:rPr>
        <w:t>环境与权限交接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与甲方及原服务方（如有）协作，完成工作场地、办公条件、系统账户、技术文档及备品备件库的交接。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1255"/>
      <w:r>
        <w:rPr>
          <w:rFonts w:hint="default"/>
          <w:lang w:val="en-US" w:eastAsia="zh-CN"/>
        </w:rPr>
        <w:t>服务基线建立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全面调研平台现状，记录当前系统配置、性能指标及潜在风险，形成《系统初始状态报告》，作为未来服务考核的基线。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9565"/>
      <w:r>
        <w:rPr>
          <w:rFonts w:hint="default"/>
          <w:lang w:val="en-US" w:eastAsia="zh-CN"/>
        </w:rPr>
        <w:t>运维系统初始化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在甲方运维服务管理系统中，初始化服务台、配置管理数据库（CMDB）、</w:t>
      </w:r>
      <w:r>
        <w:rPr>
          <w:rFonts w:hint="eastAsia"/>
          <w:lang w:val="en-US" w:eastAsia="zh-CN"/>
        </w:rPr>
        <w:t>服务数据</w:t>
      </w:r>
      <w:r>
        <w:rPr>
          <w:rFonts w:hint="default"/>
          <w:lang w:val="en-US" w:eastAsia="zh-CN"/>
        </w:rPr>
        <w:t>等，确保流程就绪。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1031"/>
      <w:r>
        <w:rPr>
          <w:rFonts w:hint="default"/>
          <w:lang w:val="en-US" w:eastAsia="zh-CN"/>
        </w:rPr>
        <w:t>标准化运维服务执行</w:t>
      </w:r>
      <w:bookmarkEnd w:id="1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4183"/>
      <w:r>
        <w:rPr>
          <w:rFonts w:hint="default"/>
          <w:lang w:val="en-US" w:eastAsia="zh-CN"/>
        </w:rPr>
        <w:t>服务台</w:t>
      </w:r>
      <w:r>
        <w:rPr>
          <w:rFonts w:hint="eastAsia"/>
          <w:lang w:val="en-US" w:eastAsia="zh-CN"/>
        </w:rPr>
        <w:t>专员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建立由专人负责的服务台，通过热线、邮箱等多种渠道受理服务请求，并严格执行《服务台管理制度》。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4414"/>
      <w:r>
        <w:rPr>
          <w:rFonts w:hint="default"/>
          <w:lang w:val="en-US" w:eastAsia="zh-CN"/>
        </w:rPr>
        <w:t>事件与问题管理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严格执行事件管理流程，确保所有故障按合同要求处置。对重复发生的事件进行根源分析，转化为问题管理。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8505"/>
      <w:r>
        <w:rPr>
          <w:rFonts w:hint="default"/>
          <w:lang w:val="en-US" w:eastAsia="zh-CN"/>
        </w:rPr>
        <w:t>变更与配置管理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任何系统变更需提前制定方案并获甲方书面批准后实施。同时，维护CMDB的准确性，记录所有配置项及其关系。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12902"/>
      <w:r>
        <w:rPr>
          <w:rFonts w:hint="default"/>
          <w:lang w:val="en-US" w:eastAsia="zh-CN"/>
        </w:rPr>
        <w:t>日常运维作业</w:t>
      </w:r>
      <w:bookmarkEnd w:id="14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执行7×24小时监控与每日巡检。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按合同要求提供全域安全防护，包括每季度的漏洞扫描、渗透测试。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严格遵循《备品备件管理制度》与《服务知识管理流程》。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0692"/>
      <w:r>
        <w:rPr>
          <w:rFonts w:hint="default"/>
          <w:lang w:val="en-US" w:eastAsia="zh-CN"/>
        </w:rPr>
        <w:t>服务持续监控与优化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绩效监控：持续监控服务级别协议（SLA）达成情况，定期生成《运维服务报告》。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持续改进：每季度向甲方提交《客户意见征询表》，收集反馈，并基于数据分析和甲方意见，持续优化服务流程与系统性能。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7785"/>
      <w:r>
        <w:rPr>
          <w:rFonts w:hint="default"/>
          <w:lang w:val="en-US" w:eastAsia="zh-CN"/>
        </w:rPr>
        <w:t>服务回顾与周期续约准备</w:t>
      </w:r>
      <w:bookmarkEnd w:id="1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5744"/>
      <w:r>
        <w:rPr>
          <w:rFonts w:hint="default"/>
          <w:lang w:val="en-US" w:eastAsia="zh-CN"/>
        </w:rPr>
        <w:t>服务总结报告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在服务期满前一个月，编制《年度运维服务总结报告》，全面汇报服务目标达成情况、重大事件回顾及价值成果。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361"/>
      <w:r>
        <w:rPr>
          <w:rFonts w:hint="default"/>
          <w:lang w:val="en-US" w:eastAsia="zh-CN"/>
        </w:rPr>
        <w:t>知识移交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确保所有知识库文档、技术方案、运维记录完整无误，并移交给甲方。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项目续约准备：配合甲方完成项目评估与审计，为可能的服务周期续约做好准备。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6647"/>
      <w:r>
        <w:rPr>
          <w:rFonts w:hint="default"/>
          <w:lang w:val="en-US" w:eastAsia="zh-CN"/>
        </w:rPr>
        <w:t>资源与保障措施</w:t>
      </w:r>
      <w:bookmarkEnd w:id="19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6910"/>
      <w:r>
        <w:rPr>
          <w:rFonts w:hint="default"/>
          <w:lang w:val="en-US" w:eastAsia="zh-CN"/>
        </w:rPr>
        <w:t>团队保障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配备稳定的、具备项目所需技术能力的服务团队，并严格执行人员稳定性保障措施，人员调整及时向甲方报备。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4833"/>
      <w:r>
        <w:rPr>
          <w:rFonts w:hint="default"/>
          <w:lang w:val="en-US" w:eastAsia="zh-CN"/>
        </w:rPr>
        <w:t>运维保障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建立并执行“7x24小时”故障响应机制，确保10分钟内响应，1小时内工程师到达现场。二线支持提供5×8小时深度技术支持，紧急情况15分钟内响应。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6912"/>
      <w:r>
        <w:rPr>
          <w:rFonts w:hint="default"/>
          <w:lang w:val="en-US" w:eastAsia="zh-CN"/>
        </w:rPr>
        <w:t>过程与质量保障</w:t>
      </w:r>
      <w:bookmarkEnd w:id="2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严格执行事件、问题、变更、配置等IT服务管理流程，确保运维服务过程标准化、可追溯。对运维服务全过程进行文档记录与管理，形成完整服务档案，以备审计与追溯。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7582"/>
      <w:r>
        <w:rPr>
          <w:rFonts w:hint="default"/>
          <w:lang w:val="en-US" w:eastAsia="zh-CN"/>
        </w:rPr>
        <w:t>风险与应对策略</w:t>
      </w:r>
      <w:bookmarkEnd w:id="2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18343"/>
      <w:r>
        <w:rPr>
          <w:rFonts w:hint="default"/>
          <w:lang w:val="en-US" w:eastAsia="zh-CN"/>
        </w:rPr>
        <w:t>付款条件风险</w:t>
      </w:r>
      <w:bookmarkEnd w:id="2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合同付款与甲方“年度预算资金到达”挂钩，存在乙方收款不确定性。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应对：在项目启动阶段进行书面澄清，争取更有利的支付条件；同时在财务预算中做好现金流管理。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27505"/>
      <w:r>
        <w:rPr>
          <w:rFonts w:hint="default"/>
          <w:lang w:val="en-US" w:eastAsia="zh-CN"/>
        </w:rPr>
        <w:t>SLA违约风险</w:t>
      </w:r>
      <w:bookmarkEnd w:id="2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因人员技能不足或响应不及时导致未达到合同SLA要求。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应对：严格执行人员资质审核与常态化培训；建立内部SLA监控预警机制，确保所有呼叫及时响应与闭环。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28947"/>
      <w:r>
        <w:rPr>
          <w:rFonts w:hint="default"/>
          <w:lang w:val="en-US" w:eastAsia="zh-CN"/>
        </w:rPr>
        <w:t>人员流动风险</w:t>
      </w:r>
      <w:bookmarkEnd w:id="2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驻场人员离职可能影响服务连续性。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应对：建立A/B角机制，加强团队内部知识共享；按合同要求，人员调整提前向甲方报备并做好工作交接。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18721"/>
      <w:r>
        <w:rPr>
          <w:rFonts w:hint="default"/>
          <w:lang w:val="en-US" w:eastAsia="zh-CN"/>
        </w:rPr>
        <w:t>安全事件风险</w:t>
      </w:r>
      <w:bookmarkEnd w:id="2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平台遭受网络攻击，导致数据泄露或服务中断。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应对：严格执行《信息安全管理计划》，定期进行安全评估与演练；建立并测试安全事件应急响应预案。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BFDBAD9"/>
    <w:multiLevelType w:val="singleLevel"/>
    <w:tmpl w:val="ABFDBAD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9839B05"/>
    <w:multiLevelType w:val="singleLevel"/>
    <w:tmpl w:val="79839B0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link w:val="3Char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character" w:customStyle="1" w:styleId="3Char">
    <w:name w:val="柴_标题3 Char"/>
    <w:link w:val="3"/>
    <w:qFormat/>
    <w:rPr>
      <w:rFonts w:ascii="宋体" w:eastAsia="宋体" w:hAnsi="宋体" w:cs="宋体"/>
      <w:spacing w:val="-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1959</Words>
  <Characters>2132</Characters>
  <Application>Microsoft Office Word</Application>
  <DocSecurity>0</DocSecurity>
  <Lines>0</Lines>
  <Paragraphs>0</Paragraphs>
  <ScaleCrop>false</ScaleCrop>
  <Company/>
  <LinksUpToDate>false</LinksUpToDate>
  <CharactersWithSpaces>2241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