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417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晋城市产业互联网数字化</w:t>
      </w:r>
    </w:p>
    <w:p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right="0" w:firstLine="0" w:leftChars="0" w:rightChars="0" w:firstLineChars="0"/>
        <w:jc w:val="center"/>
        <w:textAlignment w:val="baseline"/>
        <w:rPr>
          <w:rFonts w:ascii="黑体" w:eastAsia="黑体" w:hAnsi="黑体" w:cs="黑体" w:hint="default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ascii="黑体" w:eastAsia="黑体" w:hAnsi="黑体" w:cs="黑体" w:hint="eastAsia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共享服务平台巡检报告</w:t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2025.09.30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2025.09.3</w:t>
            </w:r>
            <w:bookmarkStart w:id="1" w:name="_GoBack"/>
            <w:bookmarkEnd w:id="1"/>
            <w:r>
              <w:rPr>
                <w:rFonts w:hint="eastAsia"/>
                <w:u w:val="single"/>
                <w:vertAlign w:val="baseline"/>
                <w:lang w:val="en-US" w:eastAsia="zh-CN"/>
              </w:rPr>
              <w:t>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9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涂志云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_Toc14175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_Toc14175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巡检</w:t>
          </w:r>
          <w:r>
            <w:rPr>
              <w:rFonts w:hint="default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_Toc492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_Toc31977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巡检内容与结果</w:t>
          </w:r>
          <w:r>
            <w:tab/>
          </w:r>
          <w:r>
            <w:fldChar w:fldCharType="begin"/>
          </w:r>
          <w:r>
            <w:instrText xml:space="preserve"> PAGEREF _Toc31977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_Toc30516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平台可用性与性能</w:t>
          </w:r>
          <w:r>
            <w:tab/>
          </w:r>
          <w:r>
            <w:fldChar w:fldCharType="begin"/>
          </w:r>
          <w:r>
            <w:instrText xml:space="preserve"> PAGEREF _Toc30516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_Toc5377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基础设施深度巡检</w:t>
          </w:r>
          <w:r>
            <w:tab/>
          </w:r>
          <w:r>
            <w:fldChar w:fldCharType="begin"/>
          </w:r>
          <w:r>
            <w:instrText xml:space="preserve"> PAGEREF _Toc5377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_Toc27200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安全合规性巡检</w:t>
          </w:r>
          <w:r>
            <w:tab/>
          </w:r>
          <w:r>
            <w:fldChar w:fldCharType="begin"/>
          </w:r>
          <w:r>
            <w:instrText xml:space="preserve"> PAGEREF _Toc27200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_Toc8317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服务交付流程合规性</w:t>
          </w:r>
          <w:r>
            <w:tab/>
          </w:r>
          <w:r>
            <w:fldChar w:fldCharType="begin"/>
          </w:r>
          <w:r>
            <w:instrText xml:space="preserve"> PAGEREF _Toc8317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事件问题处理回顾与分析</w:t>
          </w:r>
          <w:r>
            <w:tab/>
          </w:r>
          <w:r>
            <w:fldChar w:fldCharType="begin"/>
          </w:r>
          <w:r>
            <w:instrText xml:space="preserve"> PAGEREF _Toc22028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_Toc32253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资源与保障措施运行验证</w:t>
          </w:r>
          <w:r>
            <w:tab/>
          </w:r>
          <w:r>
            <w:fldChar w:fldCharType="begin"/>
          </w:r>
          <w:r>
            <w:instrText xml:space="preserve"> PAGEREF _Toc32253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_Toc30717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人力资源</w:t>
          </w:r>
          <w:r>
            <w:tab/>
          </w:r>
          <w:r>
            <w:fldChar w:fldCharType="begin"/>
          </w:r>
          <w:r>
            <w:instrText xml:space="preserve"> PAGEREF _Toc30717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_Toc4470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工具资源</w:t>
          </w:r>
          <w:r>
            <w:tab/>
          </w:r>
          <w:r>
            <w:fldChar w:fldCharType="begin"/>
          </w:r>
          <w:r>
            <w:instrText xml:space="preserve"> PAGEREF _Toc4470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_Toc22479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过程资产</w:t>
          </w:r>
          <w:r>
            <w:tab/>
          </w:r>
          <w:r>
            <w:fldChar w:fldCharType="begin"/>
          </w:r>
          <w:r>
            <w:instrText xml:space="preserve"> PAGEREF _Toc22479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_Toc4322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持续改进机制运行与优化跟踪</w:t>
          </w:r>
          <w:r>
            <w:tab/>
          </w:r>
          <w:r>
            <w:fldChar w:fldCharType="begin"/>
          </w:r>
          <w:r>
            <w:instrText xml:space="preserve"> PAGEREF _Toc4322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_Toc13315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监控粒度优化项</w:t>
          </w:r>
          <w:r>
            <w:tab/>
          </w:r>
          <w:r>
            <w:fldChar w:fldCharType="begin"/>
          </w:r>
          <w:r>
            <w:instrText xml:space="preserve"> PAGEREF _Toc13315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_Toc18309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应急沟通效率提升项</w:t>
          </w:r>
          <w:r>
            <w:tab/>
          </w:r>
          <w:r>
            <w:fldChar w:fldCharType="begin"/>
          </w:r>
          <w:r>
            <w:instrText xml:space="preserve"> PAGEREF _Toc18309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_Toc7808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综合风险分析与结论</w:t>
          </w:r>
          <w:r>
            <w:tab/>
          </w:r>
          <w:r>
            <w:fldChar w:fldCharType="begin"/>
          </w:r>
          <w:r>
            <w:instrText xml:space="preserve"> PAGEREF _Toc7808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" w:name="_Toc492"/>
      <w:r>
        <w:rPr>
          <w:rFonts w:hint="eastAsia"/>
          <w:lang w:val="en-US" w:eastAsia="zh-CN"/>
        </w:rPr>
        <w:t>巡检</w:t>
      </w:r>
      <w:r>
        <w:rPr>
          <w:rFonts w:hint="default"/>
          <w:lang w:val="en-US" w:eastAsia="zh-CN"/>
        </w:rPr>
        <w:t>概述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周期内的日常运维巡检工作，是我司履行《运维项目合同书》中既定服务承诺、落地《项目实施方案》标准化流程中持续改进计划的关键执行环节。本次巡检不仅局限于对平台运行状态的被动检查，更是一场主动的、系统性的健康诊断与质量审计。我们通过“自动监控+人工核查”相结合的模式，对平台的核心应用、基础设施、安全态势及服务管理流程进行了全面审视，旨在确保服务交付质量始终处于受控状态，并为后续的服务优化提供数据驱动的决策依据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31977"/>
      <w:r>
        <w:rPr>
          <w:rFonts w:hint="eastAsia"/>
          <w:lang w:val="en-US" w:eastAsia="zh-CN"/>
        </w:rPr>
        <w:t>巡检内容与结果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30516"/>
      <w:r>
        <w:rPr>
          <w:rFonts w:hint="eastAsia"/>
          <w:lang w:val="en-US" w:eastAsia="zh-CN"/>
        </w:rPr>
        <w:t>平台可用性与性能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监控工具对平台进行7x24小时不间断监控。监控数据显示，包括统一会员中心、平台商城及供应链模块在内的所有核心业务服务，其可用性指标均稳定维持在100%，完全满足并优于合同SLA要求。在性能方面，通过对应用服务线程池、数据库连接池及API响应时间的每日人工巡检与记录，确认各项服务运行平稳，未出现性能衰减或异常阻塞情况，有效保障了终端用户的使用体验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5" w:name="_Toc5377"/>
      <w:r>
        <w:rPr>
          <w:rFonts w:hint="eastAsia"/>
          <w:lang w:val="en-US" w:eastAsia="zh-CN"/>
        </w:rPr>
        <w:t>基础设施深度巡检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支撑平台运行的服务器、网络及安全设备进行了周期性深度检查。服务器层面，重点核查了CPU负载、内存使用率及系统磁盘I/O，全月平均CPU使用率低于65%，核心系统磁盘空间使用率低于70%，资源充裕且无瓶颈风险。网络层面，通过对核心交换机与防火墙的日志分析及连通性测试，确认网络架构稳定，未侦测到异常流量或非法访问尝试。安全设备策略生效正常，形成了有效的纵深防御体系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6" w:name="_Toc27200"/>
      <w:r>
        <w:rPr>
          <w:rFonts w:hint="eastAsia"/>
          <w:lang w:val="en-US" w:eastAsia="zh-CN"/>
        </w:rPr>
        <w:t>安全合规性巡检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严格遵循合同及《信息安全管理计划》中的安全运维要求，已按计划完成的漏洞扫描与渗透测试工作，其修复措施在本月得到了持续验证，确认所有中危及以上漏洞均已闭环处理。此外，通过每日对操作系统、数据库及应用系统的安全日志进行抽样审计，未发现成功的安全攻击事件，平台整体安全态势可控、可靠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317"/>
      <w:r>
        <w:rPr>
          <w:rFonts w:hint="eastAsia"/>
          <w:lang w:val="en-US" w:eastAsia="zh-CN"/>
        </w:rPr>
        <w:t>服务交付流程合规性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IT服务管理流程的执行情况进行了重点核查。服务台作为统一入口，本月有效分派并追踪了25个服务请求，实现了100%的流程闭环管理，体现了流程的有效性和执行力。在事件响应方面，所处理的5起紧急故障，其平均响应与到场时间均大幅优于合同标准，这充分证明了我司现场服务团队高效的执行能力与责任心。同时，配置管理数据库（CMDB）的准确性在本月一次变更后得到了及时更新，确保了配置项与实际情况的一致性。知识库本月新增3篇技术文档，实现了运维经验的持续沉淀与共享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22028"/>
      <w:r>
        <w:rPr>
          <w:rFonts w:hint="eastAsia"/>
          <w:lang w:val="en-US" w:eastAsia="zh-CN"/>
        </w:rPr>
        <w:t>事件问题处理回顾与分析</w:t>
      </w:r>
      <w:bookmarkEnd w:id="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团队共处置了5起P3及以上级别的紧急事件。我们不仅满足于快速恢复服务，更致力于从根本上消除隐患。例如，针对月中发生的一起“中间件连接池溢出”导致的性能抖动事件，我们在按照事件管理流程快速恢复服务后，立即启动了正式的问题管理流程。通过召集相关技术人员进行根源分析，确认是由于近期业务量增长导致的配置参数不再适配。我们不仅调整了参数，还将此案例及解决方案固化到知识库，并更新了相关巡检项的阈值。这一过程完整地展现了我们从“被动响应（事件）”到“主动根治（问题）”的成熟运维管理能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32253"/>
      <w:r>
        <w:rPr>
          <w:rFonts w:hint="default"/>
          <w:lang w:val="en-US" w:eastAsia="zh-CN"/>
        </w:rPr>
        <w:t>资源与保障措施运行验证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为保障服务交付的连续性与稳定性，我们对核心资源进行了验证：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30717"/>
      <w:r>
        <w:rPr>
          <w:rFonts w:hint="default"/>
          <w:lang w:val="en-US" w:eastAsia="zh-CN"/>
        </w:rPr>
        <w:t>人力资源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本月核心运维团队成员无一人离职，团队稳定性高，完全符合合同中“人员稳定性保障”条款的承诺，确保了服务经验的延续性和团队战斗力。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4470"/>
      <w:r>
        <w:rPr>
          <w:rFonts w:hint="default"/>
          <w:lang w:val="en-US" w:eastAsia="zh-CN"/>
        </w:rPr>
        <w:t>工具资源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运维服务管理系统、监控告警平台等专用工具在整个报告期内运行零故障，为运维服务的标准化、自动化与可视化提供了坚实的技术支撑。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22479"/>
      <w:r>
        <w:rPr>
          <w:rFonts w:hint="default"/>
          <w:lang w:val="en-US" w:eastAsia="zh-CN"/>
        </w:rPr>
        <w:t>过程资产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所有运维活动，包括巡检、事件、变更等，均在生产管理系统中留有详尽、规范的记录。这不仅满足了过程可追溯性的要求，也为服务审计、知识传承和持续改进积累了宝贵的组织过程资产。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4322"/>
      <w:r>
        <w:rPr>
          <w:rFonts w:hint="default"/>
          <w:lang w:val="en-US" w:eastAsia="zh-CN"/>
        </w:rPr>
        <w:t>持续改进机制运行与优化跟踪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ITSS的核心思想之一是持续改进。我们基于上一周期《总结报告》中识别的待改进项，在本月积极推动并取得了实质性进展：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13315"/>
      <w:r>
        <w:rPr>
          <w:rFonts w:hint="default"/>
          <w:lang w:val="en-US" w:eastAsia="zh-CN"/>
        </w:rPr>
        <w:t>监控粒度优化项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背景：上一周期发现对部分中间件内部队列深度的监控预警存在盲区，不够灵敏。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本月行动：已成立专项小组，完成了对现有监控指标体系的技术评审，并起草了《监控告警规则优化方案》，计划于10月进行测试环境的规则部署与验证。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预期价值：此优化将实现对潜在性能瓶颈的更早洞察，变“事后救火”为“事前预防”。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8309"/>
      <w:r>
        <w:rPr>
          <w:rFonts w:hint="default"/>
          <w:lang w:val="en-US" w:eastAsia="zh-CN"/>
        </w:rPr>
        <w:t>应急沟通效率提升项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背景：模拟演练暴露出非工作时间应急指令传达链条存在延迟。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本月成果：</w:t>
      </w:r>
      <w:r>
        <w:rPr>
          <w:rFonts w:hint="eastAsia"/>
          <w:lang w:val="en-US" w:eastAsia="zh-CN"/>
        </w:rPr>
        <w:t>修订应急通讯预案</w:t>
      </w:r>
      <w:r>
        <w:rPr>
          <w:rFonts w:hint="default"/>
          <w:lang w:val="en-US" w:eastAsia="zh-CN"/>
        </w:rPr>
        <w:t>。新预案明确了以企业微信为一级通知、手机电话为二级保障的协同通讯机制，并规定了不同紧急级别的呼叫升级流程。本月末组织的专项培训与演练结果显示，指令传达的及时性已得到显著提升。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闭环情况：此项改进已初步完成，将于下月进行复盘以确认其长期有效性。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6" w:name="_Toc7808"/>
      <w:r>
        <w:rPr>
          <w:rFonts w:hint="default"/>
          <w:lang w:val="en-US" w:eastAsia="zh-CN"/>
        </w:rPr>
        <w:t>综合风险分析与结论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九月份的运维巡检与各项数据表明，晋城市产业互联网数字化共享服务平台处于健康、稳定、安全的运行状态。我司提供的运维服务在交付质量、过程规范性与客户满意度方面均达到了预期目标。服务级别协议（SLA）的各项关键指标均以100%的符合率完成，这不仅履行了合同承诺，也印证了我们运维服务体系的成熟与可靠。</w:t>
      </w:r>
    </w:p>
    <w:sectPr>
      <w:headerReference w:type="default" r:id="rId6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link w:val="3Char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character" w:customStyle="1" w:styleId="3Char">
    <w:name w:val="柴_标题3 Char"/>
    <w:link w:val="3"/>
    <w:qFormat/>
    <w:rPr>
      <w:rFonts w:ascii="宋体" w:eastAsia="宋体" w:hAnsi="宋体" w:cs="宋体"/>
      <w:spacing w:val="-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theme" Target="theme/theme1.xml" /><Relationship Id="rId8" Type="http://schemas.openxmlformats.org/officeDocument/2006/relationships/numbering" Target="numbering.xml" /><Relationship Id="rId9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2257</Words>
  <Characters>2383</Characters>
  <Application>Microsoft Office Word</Application>
  <DocSecurity>0</DocSecurity>
  <Lines>0</Lines>
  <Paragraphs>0</Paragraphs>
  <ScaleCrop>false</ScaleCrop>
  <Company/>
  <LinksUpToDate>false</LinksUpToDate>
  <CharactersWithSpaces>2446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2025-12-02T19:16:41Z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