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571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1"/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晋城市产业互联网数字化</w:t>
      </w:r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共享服务平台总结报告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9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涂志云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_Toc15711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_Toc28892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阶段目标完成情况</w:t>
          </w:r>
          <w:r>
            <w:tab/>
          </w:r>
          <w:r>
            <w:fldChar w:fldCharType="begin"/>
          </w:r>
          <w:r>
            <w:instrText xml:space="preserve"> PAGEREF _Toc9258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分阶段实施内容总结</w:t>
          </w:r>
          <w:r>
            <w:tab/>
          </w:r>
          <w:r>
            <w:fldChar w:fldCharType="begin"/>
          </w:r>
          <w:r>
            <w:instrText xml:space="preserve"> PAGEREF _Toc16545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项目启动与团队入驻（已完成）</w:t>
          </w:r>
          <w:r>
            <w:tab/>
          </w:r>
          <w:r>
            <w:fldChar w:fldCharType="begin"/>
          </w:r>
          <w:r>
            <w:instrText xml:space="preserve"> PAGEREF _Toc10499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服务交接与基线建立（已完成）</w:t>
          </w:r>
          <w:r>
            <w:tab/>
          </w:r>
          <w:r>
            <w:fldChar w:fldCharType="begin"/>
          </w:r>
          <w:r>
            <w:instrText xml:space="preserve"> PAGEREF _Toc21438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_Toc4190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标准化运维服务执行（持续进行，状态稳定）</w:t>
          </w:r>
          <w:r>
            <w:tab/>
          </w:r>
          <w:r>
            <w:fldChar w:fldCharType="begin"/>
          </w:r>
          <w:r>
            <w:instrText xml:space="preserve"> PAGEREF _Toc4190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日常运维：</w:t>
          </w:r>
          <w:r>
            <w:tab/>
          </w:r>
          <w:r>
            <w:fldChar w:fldCharType="begin"/>
          </w:r>
          <w:r>
            <w:instrText xml:space="preserve"> PAGEREF _Toc10936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资源投入与保障措施落实情况</w:t>
          </w:r>
          <w:r>
            <w:tab/>
          </w:r>
          <w:r>
            <w:fldChar w:fldCharType="begin"/>
          </w:r>
          <w:r>
            <w:instrText xml:space="preserve"> PAGEREF _Toc5866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风险应对与待改进事项</w:t>
          </w:r>
          <w:r>
            <w:tab/>
          </w:r>
          <w:r>
            <w:fldChar w:fldCharType="begin"/>
          </w:r>
          <w:r>
            <w:instrText xml:space="preserve"> PAGEREF _Toc23744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已应对的风险</w:t>
          </w:r>
          <w:r>
            <w:tab/>
          </w:r>
          <w:r>
            <w:fldChar w:fldCharType="begin"/>
          </w:r>
          <w:r>
            <w:instrText xml:space="preserve"> PAGEREF _Toc30570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待改进事项与后续计划</w:t>
          </w:r>
          <w:r>
            <w:tab/>
          </w:r>
          <w:r>
            <w:fldChar w:fldCharType="begin"/>
          </w:r>
          <w:r>
            <w:instrText xml:space="preserve"> PAGEREF _Toc153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下一阶段重点工作计划</w:t>
          </w:r>
          <w:r>
            <w:tab/>
          </w:r>
          <w:r>
            <w:fldChar w:fldCharType="begin"/>
          </w:r>
          <w:r>
            <w:instrText xml:space="preserve"> PAGEREF _Toc16502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8892"/>
      <w:r>
        <w:rPr>
          <w:rFonts w:hint="default"/>
          <w:lang w:val="en-US" w:eastAsia="zh-CN"/>
        </w:rPr>
        <w:t>项目概述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本报告旨在系统总结“晋城市产业互联网数字化共享服务平台运维项目”自 2025年5启动至 2025年9月30日期间的实施与交付情况。报告期内，项目各项工作均严格遵循《运维项目合同书》及双方审定的《项目实施方案》推进，顺利完成了服务团队组建入驻、服务基线建立，并转入了稳定、高效的标准化运维服务执行阶段，所有核心服务指标均达到或优于合同约定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9258"/>
      <w:r>
        <w:rPr>
          <w:rFonts w:hint="eastAsia"/>
          <w:lang w:val="en-US" w:eastAsia="zh-CN"/>
        </w:rPr>
        <w:t>阶段目标完成情况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止9月30日，项目第一阶段（启动与过渡）与第二阶段（标准化服务初期）目标已全面达成。服务团队按期入驻，运维体系平稳建立，平台运行稳定，服务级别协议（SLA）符合率为100%，成功实现了从项目启动到常态化高质量运维服务的无缝过渡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6545"/>
      <w:r>
        <w:rPr>
          <w:rFonts w:hint="default"/>
          <w:lang w:val="en-US" w:eastAsia="zh-CN"/>
        </w:rPr>
        <w:t>分阶段实施内容总结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0499"/>
      <w:r>
        <w:rPr>
          <w:rFonts w:hint="default"/>
          <w:lang w:val="en-US" w:eastAsia="zh-CN"/>
        </w:rPr>
        <w:t>项目启动与团队入驻（已完成）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完成情况：合同签订后7个工作日内，按合同要求完成了由5人（项目经理1名、驻场工程师2名、二线支持3名）组成的服务团队组建与入驻，人员名单与资质已获甲方书面确认。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成果输出：成功召开项目启动会，明确了沟通机制。核心管理计划，包括《信息安全管理计划》、《服务可用性与连续性管理计划》等均已编制并提交甲方备案。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1438"/>
      <w:r>
        <w:rPr>
          <w:rFonts w:hint="default"/>
          <w:lang w:val="en-US" w:eastAsia="zh-CN"/>
        </w:rPr>
        <w:t>服务交接与基线建立（已完成）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完成情况：于6月初全面完成了与甲方的服务交接工作，包括办公场地、系统账户、技术文档及部分备品备件。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成果输出：形成了《系统初始状态与基线评估报告》，详细记录了平台在服务起始时刻的性能、配置与风险状态，为服务考核奠定了基准。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190"/>
      <w:r>
        <w:rPr>
          <w:rFonts w:hint="default"/>
          <w:lang w:val="en-US" w:eastAsia="zh-CN"/>
        </w:rPr>
        <w:t>标准化运维服务执行（持续进行，状态稳定）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本阶段是报告期内的核心工作，各项服务均已按标准流程投入运行：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服务台运营：服务台正式建立并运行，通过热线、邮箱共受理服务请求25次，全部实现闭环管理。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事件管理：共处理5起紧急故障，平均响应时间7分钟，平均到场时间45分钟，100%满足合同SLA要求。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0936"/>
      <w:r>
        <w:rPr>
          <w:rFonts w:hint="default"/>
          <w:lang w:val="en-US" w:eastAsia="zh-CN"/>
        </w:rPr>
        <w:t>日常运维：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7×24小时监控与每日人工巡检有效执行，主动发现并处理潜在风险4起。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按计划完成了第三季度的全域漏洞扫描与渗透测试，并对发现的中危漏洞完成了修复。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备品备件库与服务知识库已完成初始化，并纳入运维服务管理系统进行管理。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5866"/>
      <w:r>
        <w:rPr>
          <w:rFonts w:hint="default"/>
          <w:lang w:val="en-US" w:eastAsia="zh-CN"/>
        </w:rPr>
        <w:t>资源投入与保障措施落实情况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团队稳定性：核心团队成员保持稳定，无频繁更换，人员稳定性保障措施落实有效。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工具与平台：运维服务管理系统、监控平台等专用工具运行正常，为运维服务的标准化、数字化管理提供了有效支撑。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过程质量：事件、问题、变更等IT服务管理流程已全面应用，确保了运维活动的规范性与可追溯性。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3744"/>
      <w:r>
        <w:rPr>
          <w:rFonts w:hint="default"/>
          <w:lang w:val="en-US" w:eastAsia="zh-CN"/>
        </w:rPr>
        <w:t>风险应对与待改进事项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30570"/>
      <w:r>
        <w:rPr>
          <w:rFonts w:hint="default"/>
          <w:lang w:val="en-US" w:eastAsia="zh-CN"/>
        </w:rPr>
        <w:t>已应对的风险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付款条件风险：已在项目启动阶段与甲方进行沟通，双方对合同支付条款的理解保持了一致。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SLA违约风险：通过建立内部预警机制与强化团队培训，本报告期内SLA达成率为100%，风险可控。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53"/>
      <w:r>
        <w:rPr>
          <w:rFonts w:hint="default"/>
          <w:lang w:val="en-US" w:eastAsia="zh-CN"/>
        </w:rPr>
        <w:t>待改进事项与后续计划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监控粒度待优化：当前监控系统对部分中间件性能指标的预警不够灵敏。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后续计划：计划在2025年第四季度对监控告警规则进行一次全面评审与优化。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应急沟通效率可提升：在模拟演练中发现，非工作时间段的指令传达存在轻微延迟。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后续计划：将于2025年10月内完善应急通讯预案，明确即时通讯工具与电话的协同使用规范，并组织团队培训。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6502"/>
      <w:r>
        <w:rPr>
          <w:rFonts w:hint="default"/>
          <w:lang w:val="en-US" w:eastAsia="zh-CN"/>
        </w:rPr>
        <w:t>下一阶段重点工作计划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基于当前项目稳定运行的态势，下一阶段（2025年第四季度）将重点关注以下工作：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持续服务交付：继续严格执行合同与各项管理计划，确保服务质量的持续稳定。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完成中期支付：积极配合甲方，依据合同约定完成服务期满半年后的50%合同款支付流程。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推动改进项落地：落实上述监控优化与通讯流程改进工作，并于年底前完成效果验证。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准备年度总结：启动年度运维服务总结的准备工作，梳理全年服务成果与价值。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E5F7D41"/>
    <w:multiLevelType w:val="singleLevel"/>
    <w:tmpl w:val="0E5F7D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1685</Words>
  <Characters>1807</Characters>
  <Application>Microsoft Office Word</Application>
  <DocSecurity>0</DocSecurity>
  <Lines>0</Lines>
  <Paragraphs>0</Paragraphs>
  <ScaleCrop>false</ScaleCrop>
  <Company/>
  <LinksUpToDate>false</LinksUpToDate>
  <CharactersWithSpaces>1860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