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5F21DB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3143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68C6915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7402"/>
      <w:r>
        <w:rPr>
          <w:rFonts w:hint="eastAsia"/>
          <w:lang w:val="en-US" w:eastAsia="zh-CN"/>
        </w:rPr>
        <w:t>运维服务目录管理制度</w:t>
      </w:r>
      <w:bookmarkEnd w:id="1"/>
    </w:p>
    <w:p w14:paraId="7B20342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-4850765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7835EE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55C341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1538FB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5D273B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0F7479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4C2B89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5C42B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756431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u w:val="single"/>
                <w:vertAlign w:val="baselin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766188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33B0999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D60E44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0C63ABE4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1765C24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36E5DE2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_Toc23143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_Toc23143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97CC65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_Toc27402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运维服务目录管理制度</w:t>
          </w:r>
          <w:r>
            <w:tab/>
          </w:r>
          <w:r>
            <w:fldChar w:fldCharType="begin"/>
          </w:r>
          <w:r>
            <w:instrText xml:space="preserve"> PAGEREF _Toc27402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4EDD0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_Toc31032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_Toc31032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A730C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_Toc4184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_Toc4184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0DAE1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_Toc16431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_Toc16431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57E09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_Toc25207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术语与定义</w:t>
          </w:r>
          <w:r>
            <w:tab/>
          </w:r>
          <w:r>
            <w:fldChar w:fldCharType="begin"/>
          </w:r>
          <w:r>
            <w:instrText xml:space="preserve"> PAGEREF _Toc25207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FB80B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_Toc29155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与其他流程的关系</w:t>
          </w:r>
          <w:r>
            <w:tab/>
          </w:r>
          <w:r>
            <w:fldChar w:fldCharType="begin"/>
          </w:r>
          <w:r>
            <w:instrText xml:space="preserve"> PAGEREF _Toc29155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70F88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_Toc32198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角色与职责</w:t>
          </w:r>
          <w:r>
            <w:tab/>
          </w:r>
          <w:r>
            <w:fldChar w:fldCharType="begin"/>
          </w:r>
          <w:r>
            <w:instrText xml:space="preserve"> PAGEREF _Toc32198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89DB0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_Toc5331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数智运营部</w:t>
          </w:r>
          <w:r>
            <w:tab/>
          </w:r>
          <w:r>
            <w:fldChar w:fldCharType="begin"/>
          </w:r>
          <w:r>
            <w:instrText xml:space="preserve"> PAGEREF _Toc5331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1BB16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_Toc9209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研究总院</w:t>
          </w:r>
          <w:r>
            <w:tab/>
          </w:r>
          <w:r>
            <w:fldChar w:fldCharType="begin"/>
          </w:r>
          <w:r>
            <w:instrText xml:space="preserve"> PAGEREF _Toc9209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B35AE4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_Toc11345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质量管理部</w:t>
          </w:r>
          <w:r>
            <w:tab/>
          </w:r>
          <w:r>
            <w:fldChar w:fldCharType="begin"/>
          </w:r>
          <w:r>
            <w:instrText xml:space="preserve"> PAGEREF _Toc11345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48B72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_Toc6623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人力部</w:t>
          </w:r>
          <w:r>
            <w:tab/>
          </w:r>
          <w:r>
            <w:fldChar w:fldCharType="begin"/>
          </w:r>
          <w:r>
            <w:instrText xml:space="preserve"> PAGEREF _Toc6623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E1BBE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 </w:t>
          </w:r>
          <w:r>
            <w:rPr>
              <w:rFonts w:hint="eastAsia"/>
              <w:lang w:val="en-US" w:eastAsia="zh-CN"/>
            </w:rPr>
            <w:t>应急管理部</w:t>
          </w:r>
          <w:r>
            <w:tab/>
          </w:r>
          <w:r>
            <w:fldChar w:fldCharType="begin"/>
          </w:r>
          <w:r>
            <w:instrText xml:space="preserve"> PAGEREF _Toc1446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890A2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管理者代表</w:t>
          </w:r>
          <w:r>
            <w:tab/>
          </w:r>
          <w:r>
            <w:fldChar w:fldCharType="begin"/>
          </w:r>
          <w:r>
            <w:instrText xml:space="preserve"> PAGEREF _Toc3177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77EAF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_Toc9099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服务目录管理流程</w:t>
          </w:r>
          <w:r>
            <w:tab/>
          </w:r>
          <w:r>
            <w:fldChar w:fldCharType="begin"/>
          </w:r>
          <w:r>
            <w:instrText xml:space="preserve"> PAGEREF _Toc9099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5B01A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_Toc32467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服务目录的建立</w:t>
          </w:r>
          <w:r>
            <w:tab/>
          </w:r>
          <w:r>
            <w:fldChar w:fldCharType="begin"/>
          </w:r>
          <w:r>
            <w:instrText xml:space="preserve"> PAGEREF _Toc32467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594A1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_Toc25126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服务目录的评审</w:t>
          </w:r>
          <w:r>
            <w:tab/>
          </w:r>
          <w:r>
            <w:fldChar w:fldCharType="begin"/>
          </w:r>
          <w:r>
            <w:instrText xml:space="preserve"> PAGEREF _Toc25126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7E73D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_Toc4889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3.3. </w:t>
          </w:r>
          <w:r>
            <w:rPr>
              <w:rFonts w:hint="eastAsia"/>
              <w:lang w:val="en-US" w:eastAsia="zh-CN"/>
            </w:rPr>
            <w:t>服务目录的修订与验证</w:t>
          </w:r>
          <w:r>
            <w:tab/>
          </w:r>
          <w:r>
            <w:fldChar w:fldCharType="begin"/>
          </w:r>
          <w:r>
            <w:instrText xml:space="preserve"> PAGEREF _Toc4889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5242F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3.4. </w:t>
          </w:r>
          <w:r>
            <w:rPr>
              <w:rFonts w:hint="eastAsia"/>
              <w:lang w:val="en-US" w:eastAsia="zh-CN"/>
            </w:rPr>
            <w:t>服务目录的发布</w:t>
          </w:r>
          <w:r>
            <w:tab/>
          </w:r>
          <w:r>
            <w:fldChar w:fldCharType="begin"/>
          </w:r>
          <w:r>
            <w:instrText xml:space="preserve"> PAGEREF _Toc42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13A52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_Toc18214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3.5. </w:t>
          </w:r>
          <w:r>
            <w:rPr>
              <w:rFonts w:hint="eastAsia"/>
              <w:lang w:val="en-US" w:eastAsia="zh-CN"/>
            </w:rPr>
            <w:t>服务目录的使用</w:t>
          </w:r>
          <w:r>
            <w:tab/>
          </w:r>
          <w:r>
            <w:fldChar w:fldCharType="begin"/>
          </w:r>
          <w:r>
            <w:instrText xml:space="preserve"> PAGEREF _Toc18214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2107E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_Toc24019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持续改进</w:t>
          </w:r>
          <w:r>
            <w:tab/>
          </w:r>
          <w:r>
            <w:fldChar w:fldCharType="begin"/>
          </w:r>
          <w:r>
            <w:instrText xml:space="preserve"> PAGEREF _Toc24019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31439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_Toc21594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_Toc21594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F9F03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输出文件与记录</w:t>
          </w:r>
          <w:r>
            <w:tab/>
          </w:r>
          <w:r>
            <w:fldChar w:fldCharType="begin"/>
          </w:r>
          <w:r>
            <w:instrText xml:space="preserve"> PAGEREF _Toc2251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0FD59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EFCAB84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322D21FC">
      <w:pPr>
        <w:pStyle w:val="28"/>
        <w:bidi w:val="0"/>
        <w:rPr>
          <w:rFonts w:hint="eastAsia"/>
          <w:lang w:val="en-US" w:eastAsia="zh-CN"/>
        </w:rPr>
      </w:pPr>
      <w:bookmarkStart w:id="2" w:name="_Toc31032"/>
      <w:r>
        <w:rPr>
          <w:rFonts w:hint="eastAsia"/>
          <w:lang w:val="en-US" w:eastAsia="zh-CN"/>
        </w:rPr>
        <w:t>总则</w:t>
      </w:r>
      <w:bookmarkEnd w:id="2"/>
    </w:p>
    <w:p w14:paraId="0BC18914">
      <w:pPr>
        <w:pStyle w:val="30"/>
        <w:bidi w:val="0"/>
        <w:rPr>
          <w:rFonts w:hint="eastAsia"/>
          <w:lang w:val="en-US" w:eastAsia="zh-CN"/>
        </w:rPr>
      </w:pPr>
      <w:bookmarkStart w:id="3" w:name="_Toc4184"/>
      <w:r>
        <w:rPr>
          <w:rFonts w:hint="eastAsia"/>
          <w:lang w:val="en-US" w:eastAsia="zh-CN"/>
        </w:rPr>
        <w:t>目的</w:t>
      </w:r>
      <w:bookmarkEnd w:id="3"/>
    </w:p>
    <w:p w14:paraId="2E20CE09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江西通信产业服务有限公司（以下简称“公司”）运维服务目录的规划、设计、发布、维护及使用，清晰定义向客户提供的服务内容与标准，确保服务目录能准确反映公司服务能力，支持市场拓展、合同签订与服务交付，并实现服务目录的持续优化，特制定本制度。</w:t>
      </w:r>
    </w:p>
    <w:p w14:paraId="2D398449">
      <w:pPr>
        <w:pStyle w:val="30"/>
        <w:bidi w:val="0"/>
        <w:rPr>
          <w:rFonts w:hint="eastAsia"/>
          <w:lang w:val="en-US" w:eastAsia="zh-CN"/>
        </w:rPr>
      </w:pPr>
      <w:bookmarkStart w:id="4" w:name="_Toc16431"/>
      <w:r>
        <w:rPr>
          <w:rFonts w:hint="eastAsia"/>
          <w:lang w:val="en-US" w:eastAsia="zh-CN"/>
        </w:rPr>
        <w:t>适用范围</w:t>
      </w:r>
      <w:bookmarkEnd w:id="4"/>
    </w:p>
    <w:p w14:paraId="442380CB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本制度适用于公司所有对外提供的软件运维服务的目录管理活动，包括组织级服务目录的制定、维护，以及项目级服务目录的衍生与管理。</w:t>
      </w:r>
    </w:p>
    <w:p w14:paraId="79AF03C7">
      <w:pPr>
        <w:pStyle w:val="30"/>
        <w:bidi w:val="0"/>
        <w:rPr>
          <w:rFonts w:hint="eastAsia"/>
          <w:lang w:val="en-US" w:eastAsia="zh-CN"/>
        </w:rPr>
      </w:pPr>
      <w:bookmarkStart w:id="5" w:name="_Toc25207"/>
      <w:r>
        <w:rPr>
          <w:rFonts w:hint="eastAsia"/>
          <w:lang w:val="en-US" w:eastAsia="zh-CN"/>
        </w:rPr>
        <w:t>术语与定义</w:t>
      </w:r>
      <w:bookmarkEnd w:id="5"/>
    </w:p>
    <w:p w14:paraId="13E8B208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服务目录：定义了公司可提供的全部运维服务项，包括服务名称、内容、目标、交付方式、服务级别等属性的正式清单。分为组织级服务目录和项目级服务目录。</w:t>
      </w:r>
    </w:p>
    <w:p w14:paraId="7BB3BB51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组织级服务目录：基于公司整体服务能力建立的标准化服务列表，是公司服务产品的总纲。</w:t>
      </w:r>
    </w:p>
    <w:p w14:paraId="5FD524E8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项目级服务目录：依据具体客户合同或项目需求，从组织级服务目录中选取、组合或定制形成的服务清单，是《服务级别协议(SLA)》的核心组成部分。</w:t>
      </w:r>
    </w:p>
    <w:p w14:paraId="4D58C2E7">
      <w:pPr>
        <w:pStyle w:val="30"/>
        <w:bidi w:val="0"/>
        <w:rPr>
          <w:rFonts w:hint="eastAsia"/>
          <w:lang w:val="en-US" w:eastAsia="zh-CN"/>
        </w:rPr>
      </w:pPr>
      <w:bookmarkStart w:id="6" w:name="_Toc29155"/>
      <w:r>
        <w:rPr>
          <w:rFonts w:hint="eastAsia"/>
          <w:lang w:val="en-US" w:eastAsia="zh-CN"/>
        </w:rPr>
        <w:t>与其他流程的关系</w:t>
      </w:r>
      <w:bookmarkEnd w:id="6"/>
    </w:p>
    <w:p w14:paraId="3EF7CA10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服务目录管理是公司服务管理体系的基石，与其他关键流程紧密关联：</w:t>
      </w:r>
    </w:p>
    <w:p w14:paraId="41987288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与服务级别管理(SLM)：服务目录是定义具体服务级别指标（SLAs）的基础。项目级服务目录直接输入至SLA的制定过程。</w:t>
      </w:r>
    </w:p>
    <w:p w14:paraId="2B85DFBA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与服务质量/交付管理：服务目录中定义的服务目标与标准，是服务质量监控、评估和交付执行的直接依据。</w:t>
      </w:r>
    </w:p>
    <w:p w14:paraId="4E365041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与能力管理：服务目录的制定与变更，需评估并匹配公司现有及未来的技术、人员与流程能力。</w:t>
      </w:r>
    </w:p>
    <w:p w14:paraId="2EA8DBE1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与业务关系/需求管理：服务目录的评审与更新应充分吸纳客户需求、市场趋势及销售反馈。</w:t>
      </w:r>
    </w:p>
    <w:p w14:paraId="4A3A88A8">
      <w:pPr>
        <w:pStyle w:val="28"/>
        <w:bidi w:val="0"/>
        <w:rPr>
          <w:rFonts w:hint="eastAsia"/>
          <w:lang w:val="en-US" w:eastAsia="zh-CN"/>
        </w:rPr>
      </w:pPr>
      <w:bookmarkStart w:id="7" w:name="_Toc32198"/>
      <w:r>
        <w:rPr>
          <w:rFonts w:hint="eastAsia"/>
          <w:lang w:val="en-US" w:eastAsia="zh-CN"/>
        </w:rPr>
        <w:t>角色与职责</w:t>
      </w:r>
      <w:bookmarkEnd w:id="7"/>
    </w:p>
    <w:p w14:paraId="2F900C7E">
      <w:pPr>
        <w:pStyle w:val="30"/>
        <w:bidi w:val="0"/>
        <w:rPr>
          <w:rFonts w:hint="eastAsia"/>
          <w:lang w:val="en-US" w:eastAsia="zh-CN"/>
        </w:rPr>
      </w:pPr>
      <w:bookmarkStart w:id="8" w:name="_Toc5331"/>
      <w:r>
        <w:rPr>
          <w:rFonts w:hint="eastAsia"/>
          <w:lang w:val="en-US" w:eastAsia="zh-CN"/>
        </w:rPr>
        <w:t>数智运营部</w:t>
      </w:r>
      <w:bookmarkEnd w:id="8"/>
    </w:p>
    <w:p w14:paraId="7751DEC8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作为服务目录管理的归口部门，负责组织级服务目录的编制、维护、更新与解释。</w:t>
      </w:r>
    </w:p>
    <w:p w14:paraId="44C9F1C2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组织服务目录的定期评审与不定期修订工作。</w:t>
      </w:r>
    </w:p>
    <w:p w14:paraId="5B6EC480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牵头项目级服务目录的制定支持与审核。</w:t>
      </w:r>
    </w:p>
    <w:p w14:paraId="2EB5C20B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负责服务目录的正式发布与分发。</w:t>
      </w:r>
    </w:p>
    <w:p w14:paraId="300A94E1">
      <w:pPr>
        <w:pStyle w:val="30"/>
        <w:bidi w:val="0"/>
        <w:rPr>
          <w:rFonts w:hint="eastAsia"/>
          <w:lang w:val="en-US" w:eastAsia="zh-CN"/>
        </w:rPr>
      </w:pPr>
      <w:bookmarkStart w:id="9" w:name="_Toc9209"/>
      <w:r>
        <w:rPr>
          <w:rFonts w:hint="eastAsia"/>
          <w:lang w:val="en-US" w:eastAsia="zh-CN"/>
        </w:rPr>
        <w:t>研究总院</w:t>
      </w:r>
      <w:bookmarkEnd w:id="9"/>
    </w:p>
    <w:p w14:paraId="24DBC617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负责评估新技术、新解决方案对公司服务目录的潜在影响与赋能。</w:t>
      </w:r>
    </w:p>
    <w:p w14:paraId="735168ED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参与服务目录评审，从技术发展角度提出服务项新增、淘汰或升级的建议。</w:t>
      </w:r>
    </w:p>
    <w:p w14:paraId="530DD7CC">
      <w:pPr>
        <w:pStyle w:val="30"/>
        <w:bidi w:val="0"/>
        <w:rPr>
          <w:rFonts w:hint="eastAsia"/>
          <w:lang w:val="en-US" w:eastAsia="zh-CN"/>
        </w:rPr>
      </w:pPr>
      <w:bookmarkStart w:id="10" w:name="_Toc11345"/>
      <w:r>
        <w:rPr>
          <w:rFonts w:hint="eastAsia"/>
          <w:lang w:val="en-US" w:eastAsia="zh-CN"/>
        </w:rPr>
        <w:t>质量管理部</w:t>
      </w:r>
      <w:bookmarkEnd w:id="10"/>
    </w:p>
    <w:p w14:paraId="6C73782D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负责监督服务目录管理流程的执行符合公司质量管理体系要求。</w:t>
      </w:r>
    </w:p>
    <w:p w14:paraId="438193EF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参与服务目录评审，确保服务目标、标准设定合理、可测量。</w:t>
      </w:r>
    </w:p>
    <w:p w14:paraId="417B9CC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归档已发布的服务目录正式版本。</w:t>
      </w:r>
    </w:p>
    <w:p w14:paraId="655997FD">
      <w:pPr>
        <w:pStyle w:val="30"/>
        <w:bidi w:val="0"/>
        <w:rPr>
          <w:rFonts w:hint="eastAsia"/>
          <w:lang w:val="en-US" w:eastAsia="zh-CN"/>
        </w:rPr>
      </w:pPr>
      <w:bookmarkStart w:id="11" w:name="_Toc6623"/>
      <w:r>
        <w:rPr>
          <w:rFonts w:hint="eastAsia"/>
          <w:lang w:val="en-US" w:eastAsia="zh-CN"/>
        </w:rPr>
        <w:t>人力部</w:t>
      </w:r>
      <w:bookmarkEnd w:id="11"/>
    </w:p>
    <w:p w14:paraId="4D164125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根据服务目录所定义的服务能力要求，配合进行相关人才的招聘、培训和能力评估。</w:t>
      </w:r>
    </w:p>
    <w:p w14:paraId="049E8E3A">
      <w:pPr>
        <w:pStyle w:val="30"/>
        <w:bidi w:val="0"/>
        <w:rPr>
          <w:rFonts w:hint="eastAsia"/>
          <w:lang w:val="en-US" w:eastAsia="zh-CN"/>
        </w:rPr>
      </w:pPr>
      <w:bookmarkStart w:id="12" w:name="_Toc1446"/>
      <w:r>
        <w:rPr>
          <w:rFonts w:hint="eastAsia"/>
          <w:lang w:val="en-US" w:eastAsia="zh-CN"/>
        </w:rPr>
        <w:t>应急管理部</w:t>
      </w:r>
      <w:bookmarkEnd w:id="12"/>
    </w:p>
    <w:p w14:paraId="4F66BDE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针对服务目录中涉及业务连续性与应急响应的服务项，提供专业评审意见。</w:t>
      </w:r>
    </w:p>
    <w:p w14:paraId="34B36A5D">
      <w:pPr>
        <w:pStyle w:val="30"/>
        <w:bidi w:val="0"/>
        <w:rPr>
          <w:rFonts w:hint="eastAsia"/>
          <w:lang w:val="en-US" w:eastAsia="zh-CN"/>
        </w:rPr>
      </w:pPr>
      <w:bookmarkStart w:id="13" w:name="_Toc3177"/>
      <w:r>
        <w:rPr>
          <w:rFonts w:hint="eastAsia"/>
          <w:lang w:val="en-US" w:eastAsia="zh-CN"/>
        </w:rPr>
        <w:t>管理者代表</w:t>
      </w:r>
      <w:bookmarkEnd w:id="13"/>
    </w:p>
    <w:p w14:paraId="761BA403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负责审批和签发正式的组织级服务目录及其重大修订。</w:t>
      </w:r>
    </w:p>
    <w:p w14:paraId="31024FE5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参与服务目录的定期战略评审。</w:t>
      </w:r>
    </w:p>
    <w:p w14:paraId="1B5B7986">
      <w:pPr>
        <w:pStyle w:val="28"/>
        <w:bidi w:val="0"/>
        <w:rPr>
          <w:rFonts w:hint="eastAsia"/>
          <w:lang w:val="en-US" w:eastAsia="zh-CN"/>
        </w:rPr>
      </w:pPr>
      <w:bookmarkStart w:id="14" w:name="_Toc9099"/>
      <w:r>
        <w:rPr>
          <w:rFonts w:hint="eastAsia"/>
          <w:lang w:val="en-US" w:eastAsia="zh-CN"/>
        </w:rPr>
        <w:t>服务目录管理流程</w:t>
      </w:r>
      <w:bookmarkEnd w:id="14"/>
    </w:p>
    <w:p w14:paraId="2FD2604F">
      <w:pPr>
        <w:pStyle w:val="30"/>
        <w:bidi w:val="0"/>
        <w:rPr>
          <w:rFonts w:hint="eastAsia"/>
          <w:lang w:val="en-US" w:eastAsia="zh-CN"/>
        </w:rPr>
      </w:pPr>
      <w:bookmarkStart w:id="15" w:name="_Toc32467"/>
      <w:r>
        <w:rPr>
          <w:rFonts w:hint="eastAsia"/>
          <w:lang w:val="en-US" w:eastAsia="zh-CN"/>
        </w:rPr>
        <w:t>服务目录的建立</w:t>
      </w:r>
      <w:bookmarkEnd w:id="15"/>
    </w:p>
    <w:p w14:paraId="61ACA409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数智运营部牵头，协同研究总院、质量管理部等部门，基于公司战略、市场需求、技术能力和历史运维数据，编制初始的《组织级运维服务目录》。</w:t>
      </w:r>
    </w:p>
    <w:p w14:paraId="62148A75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服务目录内容应至少包括：服务分类、服务名称、服务描述、服务目标/关键指标（KPI）、服务时间、交付物、交付周期等。</w:t>
      </w:r>
    </w:p>
    <w:p w14:paraId="0A1B17C6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项目级服务目录应在合同签署前，由项目组会同销售、数智运营部，依据组织级目录和客户具体需求编制，并作为合同附件。</w:t>
      </w:r>
    </w:p>
    <w:p w14:paraId="733AB576">
      <w:pPr>
        <w:pStyle w:val="30"/>
        <w:bidi w:val="0"/>
        <w:rPr>
          <w:rFonts w:hint="eastAsia"/>
          <w:lang w:val="en-US" w:eastAsia="zh-CN"/>
        </w:rPr>
      </w:pPr>
      <w:bookmarkStart w:id="16" w:name="_Toc25126"/>
      <w:r>
        <w:rPr>
          <w:rFonts w:hint="eastAsia"/>
          <w:lang w:val="en-US" w:eastAsia="zh-CN"/>
        </w:rPr>
        <w:t>服务目录的评审</w:t>
      </w:r>
      <w:bookmarkEnd w:id="16"/>
    </w:p>
    <w:p w14:paraId="282718F6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定期评审：每年至少进行一次全面的服务目录评审。评审需分析市场趋势、公司业务规划、过往服务绩效及客户反馈，以确定目录的适用性。</w:t>
      </w:r>
    </w:p>
    <w:p w14:paraId="74E7E11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触发评审：当出现重大技术变革、市场需求显著变化、公司战略调整或日常使用中发现严重不适配时，可由相关部门提议启动临时评审。</w:t>
      </w:r>
    </w:p>
    <w:p w14:paraId="0D20263F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评审会议由数智运营部组织，相关部门负责人参加，形成评审结论与行动计划。</w:t>
      </w:r>
    </w:p>
    <w:p w14:paraId="4890BA06">
      <w:pPr>
        <w:pStyle w:val="30"/>
        <w:bidi w:val="0"/>
        <w:rPr>
          <w:rFonts w:hint="eastAsia"/>
          <w:lang w:val="en-US" w:eastAsia="zh-CN"/>
        </w:rPr>
      </w:pPr>
      <w:bookmarkStart w:id="17" w:name="_Toc4889"/>
      <w:r>
        <w:rPr>
          <w:rFonts w:hint="eastAsia"/>
          <w:lang w:val="en-US" w:eastAsia="zh-CN"/>
        </w:rPr>
        <w:t>服务目录的修订与验证</w:t>
      </w:r>
      <w:bookmarkEnd w:id="17"/>
    </w:p>
    <w:p w14:paraId="2EEDB118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根据评审结论决定修订后，由数智运营部负责具体修订工作。</w:t>
      </w:r>
    </w:p>
    <w:p w14:paraId="0A90EDC4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修订内容需在小范围或模拟环境中进行可行性验证，确保其能有效支撑服务交付。</w:t>
      </w:r>
    </w:p>
    <w:p w14:paraId="486E5EB7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修订后的草案需再次经过跨部门评审。</w:t>
      </w:r>
    </w:p>
    <w:p w14:paraId="286FB5B9">
      <w:pPr>
        <w:pStyle w:val="30"/>
        <w:bidi w:val="0"/>
        <w:rPr>
          <w:rFonts w:hint="eastAsia"/>
          <w:lang w:val="en-US" w:eastAsia="zh-CN"/>
        </w:rPr>
      </w:pPr>
      <w:bookmarkStart w:id="18" w:name="_Toc42"/>
      <w:r>
        <w:rPr>
          <w:rFonts w:hint="eastAsia"/>
          <w:lang w:val="en-US" w:eastAsia="zh-CN"/>
        </w:rPr>
        <w:t>服务目录的发布</w:t>
      </w:r>
      <w:bookmarkEnd w:id="18"/>
    </w:p>
    <w:p w14:paraId="0E74AE8F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组织级服务目录及其重大修订版，由数智运营部提交至公司管理层批准。</w:t>
      </w:r>
    </w:p>
    <w:p w14:paraId="7EE6E43D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发布流程如下：</w:t>
      </w:r>
    </w:p>
    <w:p w14:paraId="7C7CBF1E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数智运营部将批准后的最终版本文档，提交至质量管理部进行受控归档，获取唯一版本编号。</w:t>
      </w:r>
    </w:p>
    <w:p w14:paraId="74E689A4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数智运营部通过公司指定的正式渠道发布生效通知及文档链接/附件。</w:t>
      </w:r>
    </w:p>
    <w:p w14:paraId="35A1A52C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发布范围必须涵盖所有相关使用部门：各运维交付部门、研究总院、人力部、质量管理部及公司管理层。</w:t>
      </w:r>
    </w:p>
    <w:p w14:paraId="6C002093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发布通知中需明确新版本生效日期，并同步废止旧版本。</w:t>
      </w:r>
    </w:p>
    <w:p w14:paraId="1DDA87CA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项目级服务目录随合同或SLA一同发布生效。</w:t>
      </w:r>
    </w:p>
    <w:p w14:paraId="6F6E5A05">
      <w:pPr>
        <w:pStyle w:val="30"/>
        <w:bidi w:val="0"/>
        <w:rPr>
          <w:rFonts w:hint="eastAsia"/>
          <w:lang w:val="en-US" w:eastAsia="zh-CN"/>
        </w:rPr>
      </w:pPr>
      <w:bookmarkStart w:id="19" w:name="_Toc18214"/>
      <w:r>
        <w:rPr>
          <w:rFonts w:hint="eastAsia"/>
          <w:lang w:val="en-US" w:eastAsia="zh-CN"/>
        </w:rPr>
        <w:t>服务目录的使用</w:t>
      </w:r>
      <w:bookmarkEnd w:id="19"/>
    </w:p>
    <w:p w14:paraId="6979D8E2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服务目录是与客户沟通、方案设计与合同谈判的官方依据。</w:t>
      </w:r>
    </w:p>
    <w:p w14:paraId="07F44496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服务交付团队必须依据</w:t>
      </w:r>
      <w:bookmarkStart w:id="23" w:name="_GoBack"/>
      <w:bookmarkEnd w:id="23"/>
      <w:r>
        <w:rPr>
          <w:rFonts w:hint="eastAsia"/>
          <w:lang w:val="en-US" w:eastAsia="zh-CN"/>
        </w:rPr>
        <w:t>服务目录中定义的内容和标准执行服务。</w:t>
      </w:r>
    </w:p>
    <w:p w14:paraId="2498EBC9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任何人员不得擅自曲解或更改已发布服务目录中的既定内容。对目录的疑问应由数智运营部统一解答。</w:t>
      </w:r>
    </w:p>
    <w:p w14:paraId="0E5AF5BD">
      <w:pPr>
        <w:pStyle w:val="28"/>
        <w:bidi w:val="0"/>
        <w:rPr>
          <w:rFonts w:hint="eastAsia"/>
          <w:lang w:val="en-US" w:eastAsia="zh-CN"/>
        </w:rPr>
      </w:pPr>
      <w:bookmarkStart w:id="20" w:name="_Toc24019"/>
      <w:r>
        <w:rPr>
          <w:rFonts w:hint="eastAsia"/>
          <w:lang w:val="en-US" w:eastAsia="zh-CN"/>
        </w:rPr>
        <w:t>持续改进</w:t>
      </w:r>
      <w:bookmarkEnd w:id="20"/>
    </w:p>
    <w:p w14:paraId="52B9458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为确保服务目录始终符合业务发展与客户需求，建立以下持续改进机制：</w:t>
      </w:r>
    </w:p>
    <w:p w14:paraId="11DC8911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监控与测量：质量管理部与数智运营部应监控基于服务目录交付服务的达成情况，收集客户满意度及一线交付团队的反馈。</w:t>
      </w:r>
    </w:p>
    <w:p w14:paraId="70205B9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定期评估：结合年度评审，系统分析服务目录各项内容的有效性、适用性和竞争力。</w:t>
      </w:r>
    </w:p>
    <w:p w14:paraId="0AE22E12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优化循环：依据评估结果，启动修订流程，形成“规划-发布-执行-检查-改进(PDCA)”的管理闭环。</w:t>
      </w:r>
    </w:p>
    <w:p w14:paraId="3B19D08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知识固化：将服务目录的变更历史、评审记录、优化案例纳入公司知识库，为后续管理决策提供支持。</w:t>
      </w:r>
    </w:p>
    <w:p w14:paraId="658095A6">
      <w:pPr>
        <w:pStyle w:val="29"/>
        <w:rPr>
          <w:rFonts w:hint="eastAsia"/>
          <w:lang w:val="en-US" w:eastAsia="zh-CN"/>
        </w:rPr>
      </w:pPr>
    </w:p>
    <w:p w14:paraId="33DFF862">
      <w:pPr>
        <w:pStyle w:val="28"/>
        <w:bidi w:val="0"/>
        <w:rPr>
          <w:rFonts w:hint="eastAsia"/>
          <w:lang w:val="en-US" w:eastAsia="zh-CN"/>
        </w:rPr>
      </w:pPr>
      <w:bookmarkStart w:id="21" w:name="_Toc21594"/>
      <w:r>
        <w:rPr>
          <w:rFonts w:hint="eastAsia"/>
          <w:lang w:val="en-US" w:eastAsia="zh-CN"/>
        </w:rPr>
        <w:t>附则</w:t>
      </w:r>
      <w:bookmarkEnd w:id="21"/>
    </w:p>
    <w:p w14:paraId="1223A339">
      <w:pPr>
        <w:pStyle w:val="30"/>
        <w:bidi w:val="0"/>
        <w:rPr>
          <w:rFonts w:hint="eastAsia"/>
          <w:lang w:val="en-US" w:eastAsia="zh-CN"/>
        </w:rPr>
      </w:pPr>
      <w:bookmarkStart w:id="22" w:name="_Toc2251"/>
      <w:r>
        <w:rPr>
          <w:rFonts w:hint="eastAsia"/>
          <w:lang w:val="en-US" w:eastAsia="zh-CN"/>
        </w:rPr>
        <w:t>输出文件与记录</w:t>
      </w:r>
      <w:bookmarkEnd w:id="22"/>
    </w:p>
    <w:p w14:paraId="1464B128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《组织级运维服务目录》（受控文件，由数智运营部拟制，质量管理部归档）</w:t>
      </w:r>
    </w:p>
    <w:p w14:paraId="1949B050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《项目级服务目录/服务级别协议(SLA)》</w:t>
      </w:r>
    </w:p>
    <w:p w14:paraId="4FA171D7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《服务目录评审报告》</w:t>
      </w:r>
    </w:p>
    <w:p w14:paraId="4DF69F65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《服务目录发布记录》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AC4D716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5C991BA1"/>
    <w:multiLevelType w:val="singleLevel"/>
    <w:tmpl w:val="5C991BA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616B0920"/>
    <w:multiLevelType w:val="singleLevel"/>
    <w:tmpl w:val="616B092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4C8171B"/>
    <w:rsid w:val="06D118A6"/>
    <w:rsid w:val="07DE2822"/>
    <w:rsid w:val="08404F36"/>
    <w:rsid w:val="0B3348DE"/>
    <w:rsid w:val="123E7992"/>
    <w:rsid w:val="17732C32"/>
    <w:rsid w:val="28657572"/>
    <w:rsid w:val="292A6EC8"/>
    <w:rsid w:val="2B12230A"/>
    <w:rsid w:val="35AE2C2F"/>
    <w:rsid w:val="3DEA3DE8"/>
    <w:rsid w:val="547370C6"/>
    <w:rsid w:val="578A1ED0"/>
    <w:rsid w:val="58A5294C"/>
    <w:rsid w:val="5FA01F9D"/>
    <w:rsid w:val="68550B65"/>
    <w:rsid w:val="6CB73101"/>
    <w:rsid w:val="7A083C89"/>
    <w:rsid w:val="7BDD4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link w:val="43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character" w:customStyle="1" w:styleId="43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2312</Words>
  <Characters>2463</Characters>
  <Lines>0</Lines>
  <Paragraphs>0</Paragraphs>
  <TotalTime>2</TotalTime>
  <ScaleCrop>false</ScaleCrop>
  <LinksUpToDate>false</LinksUpToDate>
  <CharactersWithSpaces>2554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2026-01-26T17:56:02Z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F72BE04C611A47189A0BFEBA2DA65B6E_13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