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955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4284"/>
      <w:r>
        <w:rPr>
          <w:rFonts w:hint="eastAsia"/>
          <w:lang w:val="en-US" w:eastAsia="zh-CN"/>
        </w:rPr>
        <w:t>翔云系统运维服务项目</w:t>
      </w:r>
      <w:bookmarkEnd w:id="1"/>
    </w:p>
    <w:p w14:paraId="0D5E85A6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458"/>
      <w:r>
        <w:rPr>
          <w:rFonts w:hint="eastAsia"/>
          <w:lang w:val="en-US" w:eastAsia="zh-CN"/>
        </w:rPr>
        <w:t>应急演练记录</w:t>
      </w:r>
      <w:bookmarkEnd w:id="2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4F9D769">
          <w:pPr>
            <w:pStyle w:val="16"/>
            <w:tabs>
              <w:tab w:val="right" w:leader="dot" w:pos="8306"/>
            </w:tabs>
          </w:pPr>
          <w:bookmarkStart w:id="7" w:name="_GoBack"/>
          <w:bookmarkEnd w:id="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_Toc26955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C3EC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_Toc14284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B12F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应急演练记录</w:t>
          </w:r>
          <w:r>
            <w:tab/>
          </w:r>
          <w:r>
            <w:fldChar w:fldCharType="begin"/>
          </w:r>
          <w:r>
            <w:instrText xml:space="preserve"> PAGEREF _Toc3458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A8AD7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1. 演练基本信息</w:t>
          </w:r>
          <w:r>
            <w:tab/>
          </w:r>
          <w:r>
            <w:fldChar w:fldCharType="begin"/>
          </w:r>
          <w:r>
            <w:instrText xml:space="preserve"> PAGEREF _Toc28514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7FC7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 演练过程关键时间线与评估</w:t>
          </w:r>
          <w:r>
            <w:tab/>
          </w:r>
          <w:r>
            <w:fldChar w:fldCharType="begin"/>
          </w:r>
          <w:r>
            <w:instrText xml:space="preserve"> PAGEREF _Toc27819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15B1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3. 演练目标达成情况评估</w:t>
          </w:r>
          <w:r>
            <w:tab/>
          </w:r>
          <w:r>
            <w:fldChar w:fldCharType="begin"/>
          </w:r>
          <w:r>
            <w:instrText xml:space="preserve"> PAGEREF _Toc26693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6DE9C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4. 发现问题与待改进项</w:t>
          </w:r>
          <w:r>
            <w:tab/>
          </w:r>
          <w:r>
            <w:fldChar w:fldCharType="begin"/>
          </w:r>
          <w:r>
            <w:instrText xml:space="preserve"> PAGEREF _Toc18058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9FC05BD">
      <w:pPr>
        <w:pStyle w:val="28"/>
        <w:bidi w:val="0"/>
      </w:pPr>
      <w:bookmarkStart w:id="3" w:name="_Toc28514"/>
      <w:r>
        <w:rPr>
          <w:rFonts w:hint="default"/>
        </w:rPr>
        <w:t>演练基本信息</w:t>
      </w:r>
      <w:bookmarkEnd w:id="3"/>
    </w:p>
    <w:tbl>
      <w:tblPr>
        <w:tblStyle w:val="20"/>
        <w:tblW w:w="851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7790"/>
      </w:tblGrid>
      <w:tr w14:paraId="0B2F3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3A633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77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15CE2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64DE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99270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演练类型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F98ED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☑ 模拟演练 (在独立测试环境进行)</w:t>
            </w:r>
          </w:p>
        </w:tc>
      </w:tr>
      <w:tr w14:paraId="5BB71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9023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演练地点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6E2AE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应急指挥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公司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会议室）、运维工位、远程支持端</w:t>
            </w:r>
          </w:p>
        </w:tc>
      </w:tr>
      <w:tr w14:paraId="532B4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73A63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场景编号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EE7E0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XY-SCENARIO-001 (核心财务模块与SAP接口复合故障)</w:t>
            </w:r>
          </w:p>
        </w:tc>
      </w:tr>
      <w:tr w14:paraId="1B19A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2B0D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场景简述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BFB5D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模拟翔云系统财务核算模块服务不可用，同时与SAP系统的财务凭证同步接口大面积失败，导致甲方核心财务业务中断，符合P1级事件定义。</w:t>
            </w:r>
          </w:p>
        </w:tc>
      </w:tr>
      <w:tr w14:paraId="3D53A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BA2A1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依据文件</w:t>
            </w:r>
          </w:p>
        </w:tc>
        <w:tc>
          <w:tcPr>
            <w:tcW w:w="77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D1D031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《应急演练预案》(JXTX-10-03)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《应急演练大纲》(JXTX-10-02)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《项目合同》SLA条款</w:t>
            </w:r>
          </w:p>
        </w:tc>
      </w:tr>
    </w:tbl>
    <w:p w14:paraId="21F9E238">
      <w:pPr>
        <w:pStyle w:val="28"/>
        <w:bidi w:val="0"/>
      </w:pPr>
      <w:bookmarkStart w:id="4" w:name="_Toc27819"/>
      <w:r>
        <w:rPr>
          <w:rFonts w:hint="default"/>
        </w:rPr>
        <w:t>演练过程关键时间线与评估</w:t>
      </w:r>
      <w:bookmarkEnd w:id="4"/>
    </w:p>
    <w:tbl>
      <w:tblPr>
        <w:tblStyle w:val="20"/>
        <w:tblW w:w="85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637"/>
        <w:gridCol w:w="1350"/>
        <w:gridCol w:w="1806"/>
        <w:gridCol w:w="1530"/>
      </w:tblGrid>
      <w:tr w14:paraId="3AB6C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2B8F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71D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关键动作/事件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86F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SLA/预案目标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C9C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实际结果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CD90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观察员评估</w:t>
            </w:r>
          </w:p>
        </w:tc>
      </w:tr>
      <w:tr w14:paraId="05D4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32A1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14:00:00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5ECF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监控平台模拟告警触发。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8F89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FD7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告警准确发出。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542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场景注入成功。</w:t>
            </w:r>
          </w:p>
        </w:tc>
      </w:tr>
      <w:tr w14:paraId="46C2E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6B9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14:02:15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66B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服务台专员发现告警，初步确认。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1F8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发现事件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49D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完成初步判断。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DEBBD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反应及时。</w:t>
            </w:r>
          </w:p>
        </w:tc>
      </w:tr>
      <w:tr w14:paraId="45388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89AB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14:04:30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4D5E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服务台专员电话上报运维项目经理。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C3D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内部上报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5B70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沟通渠道正确，信息传递完整。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06BCD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符合上报流程。</w:t>
            </w:r>
          </w:p>
        </w:tc>
      </w:tr>
      <w:tr w14:paraId="41EDD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130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14:07:00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0357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运维项目经理评估为P1，建议启动应急响应并成立应急管理部。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CE80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初步定级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07D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定级准确，建议合理。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B05B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决策流程清晰。</w:t>
            </w:r>
          </w:p>
        </w:tc>
      </w:tr>
      <w:tr w14:paraId="61C7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02C4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14:09:20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900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数智运营部经理宣布启动P1级应急响应，并指令成立应急管理部。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B27E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启动响应，成立机构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16F0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应急管理部依法成立。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2DF8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核心机制验证成功。</w:t>
            </w:r>
          </w:p>
        </w:tc>
      </w:tr>
      <w:tr w14:paraId="2E26A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BEA3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14:12:00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E757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应急管理部成员集结完毕，召开首次紧急会议。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D6C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-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3572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集结迅速，会议高效。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709E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指挥体系开始运作。</w:t>
            </w:r>
          </w:p>
        </w:tc>
      </w:tr>
      <w:tr w14:paraId="6599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E9C5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14:14:40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EC31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服务台发送事件通告邮件给模拟甲方。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1C3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≤15分钟响应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E24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用时14分40秒。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44B0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SLA响应时效达标。</w:t>
            </w:r>
          </w:p>
        </w:tc>
      </w:tr>
      <w:tr w14:paraId="35E96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2BB4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14:15-16:05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0F6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技术诊断、研发介入、决策恢复方案、执行恢复操作。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207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协同处置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802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技术排查逻辑清晰，跨团队协作顺畅。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FFA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在应急管理部指挥下，协同有效。</w:t>
            </w:r>
          </w:p>
        </w:tc>
      </w:tr>
      <w:tr w14:paraId="15950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30E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16:05-16:10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A30F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验证业务功能恢复，数据补发完成。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B00F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业务恢复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6A41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核心功能验证通过。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F567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恢复验证步骤完整。</w:t>
            </w:r>
          </w:p>
        </w:tc>
      </w:tr>
      <w:tr w14:paraId="00A44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C443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16:10:00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F1A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应急管理部评估后，指挥长宣布应急响应终止。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45F0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≤2小时恢复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F96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从事件发生到响应终止总计2小时10分。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768D2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恢复时间略超目标，需分析。</w:t>
            </w:r>
          </w:p>
        </w:tc>
      </w:tr>
      <w:tr w14:paraId="6D521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10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16:12:00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065D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服务台发送“应急响应终止及业务恢复确认”通知。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488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最终通告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BF12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通知及时发出。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D2A58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沟通闭环完成。</w:t>
            </w:r>
          </w:p>
        </w:tc>
      </w:tr>
      <w:tr w14:paraId="06E70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5A39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16:20-16:50</w:t>
            </w:r>
          </w:p>
        </w:tc>
        <w:tc>
          <w:tcPr>
            <w:tcW w:w="26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681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召开即时复盘会议。</w:t>
            </w:r>
          </w:p>
        </w:tc>
        <w:tc>
          <w:tcPr>
            <w:tcW w:w="13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BD6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24小时内复盘</w:t>
            </w:r>
          </w:p>
        </w:tc>
        <w:tc>
          <w:tcPr>
            <w:tcW w:w="18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A8BA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会议按时召开，讨论热烈。</w:t>
            </w:r>
          </w:p>
        </w:tc>
        <w:tc>
          <w:tcPr>
            <w:tcW w:w="1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E942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完成“热复盘”。</w:t>
            </w:r>
          </w:p>
        </w:tc>
      </w:tr>
    </w:tbl>
    <w:p w14:paraId="4831FA1E">
      <w:pPr>
        <w:pStyle w:val="28"/>
        <w:bidi w:val="0"/>
      </w:pPr>
      <w:bookmarkStart w:id="5" w:name="_Toc26693"/>
      <w:r>
        <w:rPr>
          <w:rFonts w:hint="default"/>
        </w:rPr>
        <w:t>演练目标达成情况评估</w:t>
      </w:r>
      <w:bookmarkEnd w:id="5"/>
    </w:p>
    <w:tbl>
      <w:tblPr>
        <w:tblStyle w:val="20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2360"/>
        <w:gridCol w:w="3243"/>
        <w:gridCol w:w="1752"/>
      </w:tblGrid>
      <w:tr w14:paraId="06A1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6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C23C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评估维度</w:t>
            </w:r>
          </w:p>
        </w:tc>
        <w:tc>
          <w:tcPr>
            <w:tcW w:w="23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2096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预案目标</w:t>
            </w:r>
          </w:p>
        </w:tc>
        <w:tc>
          <w:tcPr>
            <w:tcW w:w="32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7D4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实际表现</w:t>
            </w:r>
          </w:p>
        </w:tc>
        <w:tc>
          <w:tcPr>
            <w:tcW w:w="17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029C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评估结果</w:t>
            </w:r>
          </w:p>
        </w:tc>
      </w:tr>
      <w:tr w14:paraId="18FDA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A57D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架构合规性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C98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应急管理部按规定成立并运作。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6A10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在事件上报后9分20秒内成立并有效指挥。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93E0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✔ 完全达成</w:t>
            </w:r>
          </w:p>
        </w:tc>
      </w:tr>
      <w:tr w14:paraId="60A6D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ADC7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SLA时效性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0060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P1级：15分钟响应，2小时内恢复。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B79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14分40秒响应（达标），2小时10分恢复（略超）。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3C9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⚠ 部分达成 (恢复时效待改进)</w:t>
            </w:r>
          </w:p>
        </w:tc>
      </w:tr>
      <w:tr w14:paraId="37DC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160D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流程符合性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0F8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符合《运维应急管理制度》及预案流程。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D16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各环节执行与预案高度一致，无流程跳步。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190B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✔ 完全达成</w:t>
            </w:r>
          </w:p>
        </w:tc>
      </w:tr>
      <w:tr w14:paraId="5220F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F314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沟通有效性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EA6E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对内上报准确，对外通报及时、专业。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E16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内部上报路径清晰；对外发送4次通告，内容完整、准时。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0F6D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✔ 完全达成</w:t>
            </w:r>
          </w:p>
        </w:tc>
      </w:tr>
      <w:tr w14:paraId="2BE7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AFF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团队协同性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EE09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跨团队信息共享与行动协同顺畅。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4F66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在应急管理部调度下，团队间协作良好，无重大信息阻塞。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8BAF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✔ 达成</w:t>
            </w:r>
          </w:p>
        </w:tc>
      </w:tr>
      <w:tr w14:paraId="137EC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1B3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知识采集完整性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61D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全程记录可转化为知识的操作与决策点。</w:t>
            </w:r>
          </w:p>
        </w:tc>
        <w:tc>
          <w:tcPr>
            <w:tcW w:w="32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90A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知识专员采集了完整的技术步骤、沟通记录与决策日志。</w:t>
            </w:r>
          </w:p>
        </w:tc>
        <w:tc>
          <w:tcPr>
            <w:tcW w:w="17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BD78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✔ 达成</w:t>
            </w:r>
          </w:p>
        </w:tc>
      </w:tr>
    </w:tbl>
    <w:p w14:paraId="692E57CD">
      <w:pPr>
        <w:pStyle w:val="28"/>
        <w:bidi w:val="0"/>
      </w:pPr>
      <w:bookmarkStart w:id="6" w:name="_Toc18058"/>
      <w:r>
        <w:rPr>
          <w:rFonts w:hint="default"/>
        </w:rPr>
        <w:t>发现问题与待改进项</w:t>
      </w:r>
      <w:bookmarkEnd w:id="6"/>
    </w:p>
    <w:tbl>
      <w:tblPr>
        <w:tblStyle w:val="20"/>
        <w:tblW w:w="95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2430"/>
        <w:gridCol w:w="2250"/>
        <w:gridCol w:w="2130"/>
        <w:gridCol w:w="2245"/>
      </w:tblGrid>
      <w:tr w14:paraId="3BAA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1916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7386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问题描述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7768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原因初步分析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70FAA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责任团队/角色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335F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改进建议（初步）</w:t>
            </w:r>
          </w:p>
        </w:tc>
      </w:tr>
      <w:tr w14:paraId="4B8C2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01BF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78688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业务恢复时间略超2小时目标。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BFF59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恢复方案中的“分节点恢复”步骤，因其中一台测试服务器资源不足，导致单节点启动延迟约8分钟。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B526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721F2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将演练/应急专用测试环境的资源健康度检查纳入前置准备清单。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优化恢复脚本，增加对资源状态的预检与容错。</w:t>
            </w:r>
          </w:p>
        </w:tc>
      </w:tr>
      <w:tr w14:paraId="127C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115B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5811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应急管理部首次会议时，指挥中心共享屏幕切换不畅。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1B87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视频会议软件与投影仪兼容性问题，会前未进行联合调试。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7E3ED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E4DA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制定《应急指挥中心设备检查清单》，并于演练/应急前强制完成检查。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准备关键信息的纸质备份。</w:t>
            </w:r>
          </w:p>
        </w:tc>
      </w:tr>
      <w:tr w14:paraId="06E5B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C643D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4B27B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服务台专员在发送首条通告后，未立即在内部群同步已发送的信息。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B896F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沟通脚本未明确要求此动作，专员专注于对外沟通。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B670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服务台专员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86BAB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更新通告模板和SOP，增加“对外发送后，立即在内部指挥群截图确认”的步骤。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加强相关情景培训。</w:t>
            </w:r>
          </w:p>
        </w:tc>
      </w:tr>
    </w:tbl>
    <w:p w14:paraId="58E5E403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F5961"/>
    <w:rsid w:val="0A762E91"/>
    <w:rsid w:val="0C5B233E"/>
    <w:rsid w:val="10295446"/>
    <w:rsid w:val="141352AC"/>
    <w:rsid w:val="14EF207A"/>
    <w:rsid w:val="171B2DF6"/>
    <w:rsid w:val="1ADF3BEC"/>
    <w:rsid w:val="1BEF1C53"/>
    <w:rsid w:val="1F2269A5"/>
    <w:rsid w:val="20651451"/>
    <w:rsid w:val="21B207FA"/>
    <w:rsid w:val="236F7CD9"/>
    <w:rsid w:val="238B1DA2"/>
    <w:rsid w:val="25C24D84"/>
    <w:rsid w:val="27A6495D"/>
    <w:rsid w:val="2A41096D"/>
    <w:rsid w:val="2EE7693B"/>
    <w:rsid w:val="2EFE3E42"/>
    <w:rsid w:val="2F106B60"/>
    <w:rsid w:val="2FF63FA8"/>
    <w:rsid w:val="311F5D69"/>
    <w:rsid w:val="35781C6D"/>
    <w:rsid w:val="379523B5"/>
    <w:rsid w:val="3B2714BA"/>
    <w:rsid w:val="3F2301EA"/>
    <w:rsid w:val="40CF7B8F"/>
    <w:rsid w:val="41BF6718"/>
    <w:rsid w:val="425132C0"/>
    <w:rsid w:val="42D257AE"/>
    <w:rsid w:val="432F1853"/>
    <w:rsid w:val="434846C3"/>
    <w:rsid w:val="458A2D71"/>
    <w:rsid w:val="466B0DF4"/>
    <w:rsid w:val="46C329DE"/>
    <w:rsid w:val="4BD87565"/>
    <w:rsid w:val="4E467D98"/>
    <w:rsid w:val="4F8627FB"/>
    <w:rsid w:val="53446E39"/>
    <w:rsid w:val="56313A23"/>
    <w:rsid w:val="57DF0C57"/>
    <w:rsid w:val="585D7471"/>
    <w:rsid w:val="5BC85F49"/>
    <w:rsid w:val="5D902A97"/>
    <w:rsid w:val="62675A1D"/>
    <w:rsid w:val="641A130C"/>
    <w:rsid w:val="65C04540"/>
    <w:rsid w:val="674A015A"/>
    <w:rsid w:val="68142C42"/>
    <w:rsid w:val="701D28B0"/>
    <w:rsid w:val="71E676C1"/>
    <w:rsid w:val="74F636CF"/>
    <w:rsid w:val="7837209F"/>
    <w:rsid w:val="799139C7"/>
    <w:rsid w:val="7ABD2CC5"/>
    <w:rsid w:val="7B4A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1490</Words>
  <Characters>1755</Characters>
  <Lines>0</Lines>
  <Paragraphs>0</Paragraphs>
  <TotalTime>0</TotalTime>
  <ScaleCrop>false</ScaleCrop>
  <LinksUpToDate>false</LinksUpToDate>
  <CharactersWithSpaces>1864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