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0DC9C1">
      <w:pPr>
        <w:pStyle w:val="24"/>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14559"/>
      <w:r>
        <w:drawing>
          <wp:anchor distT="0" distB="0" distL="114300" distR="114300" simplePos="0" relativeHeight="251661312" behindDoc="1" locked="0" layoutInCell="1" allowOverlap="1">
            <wp:simplePos x="0" y="0"/>
            <wp:positionH relativeFrom="column">
              <wp:posOffset>-19050</wp:posOffset>
            </wp:positionH>
            <wp:positionV relativeFrom="paragraph">
              <wp:posOffset>-22225</wp:posOffset>
            </wp:positionV>
            <wp:extent cx="5304790" cy="8893810"/>
            <wp:effectExtent l="0" t="0" r="13970" b="635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304790" cy="8893810"/>
                    </a:xfrm>
                    <a:prstGeom prst="rect">
                      <a:avLst/>
                    </a:prstGeom>
                    <a:noFill/>
                    <a:ln>
                      <a:noFill/>
                    </a:ln>
                  </pic:spPr>
                </pic:pic>
              </a:graphicData>
            </a:graphic>
          </wp:anchor>
        </w:drawing>
      </w:r>
      <w:r>
        <w:drawing>
          <wp:anchor distT="0" distB="0" distL="114300" distR="114300" simplePos="0" relativeHeight="251660288"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9264"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r:embed="rId9">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江西通信产业服务有限公司</w:t>
      </w:r>
      <w:bookmarkEnd w:id="0"/>
    </w:p>
    <w:p w14:paraId="3E909CD5">
      <w:pPr>
        <w:pStyle w:val="25"/>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eastAsia"/>
          <w:lang w:val="en-US" w:eastAsia="zh-CN"/>
        </w:rPr>
      </w:pPr>
      <w:bookmarkStart w:id="1" w:name="_Toc11429"/>
      <w:r>
        <w:rPr>
          <w:rFonts w:hint="eastAsia"/>
          <w:lang w:val="en-US" w:eastAsia="zh-CN"/>
        </w:rPr>
        <w:t>翔云系统运维服务项目</w:t>
      </w:r>
      <w:bookmarkEnd w:id="1"/>
    </w:p>
    <w:p w14:paraId="40ADB16E">
      <w:pPr>
        <w:pStyle w:val="25"/>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default"/>
          <w:lang w:val="en-US" w:eastAsia="zh-CN"/>
        </w:rPr>
      </w:pPr>
      <w:bookmarkStart w:id="2" w:name="_Toc12913"/>
      <w:r>
        <w:rPr>
          <w:rFonts w:hint="eastAsia"/>
          <w:lang w:val="en-US" w:eastAsia="zh-CN"/>
        </w:rPr>
        <w:t>应急演练报告</w:t>
      </w:r>
      <w:bookmarkEnd w:id="2"/>
    </w:p>
    <w:p w14:paraId="16F33626">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leftChars="0" w:right="0" w:rightChars="0" w:firstLine="0" w:firstLineChars="0"/>
        <w:jc w:val="center"/>
        <w:textAlignment w:val="baseline"/>
        <w:rPr>
          <w:rFonts w:hint="default" w:ascii="宋体" w:hAnsi="宋体" w:eastAsia="宋体" w:cs="宋体"/>
          <w:sz w:val="24"/>
          <w:szCs w:val="24"/>
          <w:lang w:val="en-US" w:eastAsia="zh-CN"/>
        </w:rPr>
      </w:pPr>
      <w:r>
        <w:rPr>
          <w:rFonts w:ascii="宋体" w:hAnsi="宋体" w:eastAsia="宋体" w:cs="宋体"/>
          <w:b/>
          <w:bCs/>
          <w:spacing w:val="-3"/>
          <w:sz w:val="24"/>
          <w:szCs w:val="24"/>
        </w:rPr>
        <w:t>文件编号：</w:t>
      </w:r>
      <w:r>
        <w:rPr>
          <w:rFonts w:hint="eastAsia" w:ascii="宋体" w:hAnsi="宋体" w:eastAsia="宋体" w:cs="宋体"/>
          <w:b/>
          <w:bCs/>
          <w:spacing w:val="-3"/>
          <w:sz w:val="24"/>
          <w:szCs w:val="24"/>
          <w:lang w:val="en-US" w:eastAsia="zh-CN"/>
        </w:rPr>
        <w:t>JXTX</w:t>
      </w:r>
      <w:r>
        <w:rPr>
          <w:rFonts w:ascii="宋体" w:hAnsi="宋体" w:eastAsia="宋体" w:cs="宋体"/>
          <w:b/>
          <w:bCs/>
          <w:spacing w:val="-3"/>
          <w:sz w:val="24"/>
          <w:szCs w:val="24"/>
        </w:rPr>
        <w:t>-</w:t>
      </w:r>
      <w:r>
        <w:rPr>
          <w:rFonts w:hint="eastAsia" w:ascii="宋体" w:hAnsi="宋体" w:cs="宋体"/>
          <w:b/>
          <w:bCs/>
          <w:spacing w:val="-3"/>
          <w:sz w:val="24"/>
          <w:szCs w:val="24"/>
          <w:lang w:val="en-US" w:eastAsia="zh-CN"/>
        </w:rPr>
        <w:t>10</w:t>
      </w:r>
      <w:r>
        <w:rPr>
          <w:rFonts w:ascii="宋体" w:hAnsi="宋体" w:eastAsia="宋体" w:cs="宋体"/>
          <w:b/>
          <w:bCs/>
          <w:spacing w:val="-3"/>
          <w:sz w:val="24"/>
          <w:szCs w:val="24"/>
        </w:rPr>
        <w:t>-01</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2B5D43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tcPr>
          <w:p w14:paraId="298489D7">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数智运营部</w:t>
            </w:r>
          </w:p>
        </w:tc>
        <w:tc>
          <w:tcPr>
            <w:tcW w:w="2708" w:type="dxa"/>
          </w:tcPr>
          <w:p w14:paraId="29A37088">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2025.11.10</w:t>
            </w:r>
          </w:p>
        </w:tc>
      </w:tr>
      <w:tr w14:paraId="489850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2DC3BAD8">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14:paraId="0B4A2C2D">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2025.11.10</w:t>
            </w:r>
          </w:p>
        </w:tc>
      </w:tr>
      <w:tr w14:paraId="35774A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5BB814FF">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涂志云</w:t>
            </w:r>
          </w:p>
        </w:tc>
        <w:tc>
          <w:tcPr>
            <w:tcW w:w="2708" w:type="dxa"/>
          </w:tcPr>
          <w:p w14:paraId="60D3B926">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2025.11.10</w:t>
            </w:r>
          </w:p>
        </w:tc>
      </w:tr>
    </w:tbl>
    <w:p w14:paraId="189FCE51">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p w14:paraId="53B4875D">
      <w:pPr>
        <w:keepNext w:val="0"/>
        <w:keepLines w:val="0"/>
        <w:pageBreakBefore w:val="0"/>
        <w:widowControl w:val="0"/>
        <w:kinsoku w:val="0"/>
        <w:wordWrap/>
        <w:overflowPunct/>
        <w:topLinePunct w:val="0"/>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8214"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317"/>
        <w:gridCol w:w="972"/>
        <w:gridCol w:w="1575"/>
        <w:gridCol w:w="1829"/>
        <w:gridCol w:w="1606"/>
        <w:gridCol w:w="915"/>
      </w:tblGrid>
      <w:tr w14:paraId="71A1BD6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1317" w:type="dxa"/>
          </w:tcPr>
          <w:p w14:paraId="7C96716F">
            <w:pPr>
              <w:keepNext w:val="0"/>
              <w:keepLines w:val="0"/>
              <w:pageBreakBefore w:val="0"/>
              <w:widowControl w:val="0"/>
              <w:kinsoku w:val="0"/>
              <w:wordWrap/>
              <w:overflowPunct/>
              <w:topLinePunct w:val="0"/>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hint="eastAsia" w:ascii="宋体" w:hAnsi="宋体" w:cs="宋体"/>
                <w:spacing w:val="-14"/>
                <w:sz w:val="20"/>
                <w:szCs w:val="20"/>
                <w:lang w:val="en-US" w:eastAsia="zh-CN"/>
              </w:rPr>
              <w:t>修订</w:t>
            </w:r>
            <w:r>
              <w:rPr>
                <w:rFonts w:ascii="宋体" w:hAnsi="宋体" w:eastAsia="宋体" w:cs="宋体"/>
                <w:spacing w:val="-14"/>
                <w:sz w:val="20"/>
                <w:szCs w:val="20"/>
              </w:rPr>
              <w:t>日期</w:t>
            </w:r>
          </w:p>
        </w:tc>
        <w:tc>
          <w:tcPr>
            <w:tcW w:w="972" w:type="dxa"/>
          </w:tcPr>
          <w:p w14:paraId="4F1E79EB">
            <w:pPr>
              <w:keepNext w:val="0"/>
              <w:keepLines w:val="0"/>
              <w:pageBreakBefore w:val="0"/>
              <w:widowControl w:val="0"/>
              <w:kinsoku w:val="0"/>
              <w:wordWrap/>
              <w:overflowPunct/>
              <w:topLinePunct w:val="0"/>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1575" w:type="dxa"/>
          </w:tcPr>
          <w:p w14:paraId="35C350A0">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829" w:type="dxa"/>
          </w:tcPr>
          <w:p w14:paraId="06242E18">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leftChars="0" w:right="0" w:rightChars="0" w:firstLine="0" w:firstLineChars="0"/>
              <w:jc w:val="center"/>
              <w:textAlignment w:val="baseline"/>
              <w:rPr>
                <w:rFonts w:hint="eastAsia" w:ascii="宋体" w:hAnsi="宋体" w:eastAsia="宋体" w:cs="宋体"/>
                <w:spacing w:val="7"/>
                <w:sz w:val="20"/>
                <w:szCs w:val="20"/>
                <w:lang w:val="en-US" w:eastAsia="zh-CN"/>
              </w:rPr>
            </w:pPr>
            <w:r>
              <w:rPr>
                <w:rFonts w:hint="eastAsia" w:ascii="宋体" w:hAnsi="宋体" w:cs="宋体"/>
                <w:spacing w:val="7"/>
                <w:sz w:val="20"/>
                <w:szCs w:val="20"/>
                <w:lang w:val="en-US" w:eastAsia="zh-CN"/>
              </w:rPr>
              <w:t>修订人</w:t>
            </w:r>
          </w:p>
        </w:tc>
        <w:tc>
          <w:tcPr>
            <w:tcW w:w="1606" w:type="dxa"/>
          </w:tcPr>
          <w:p w14:paraId="4882F1D1">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leftChars="0" w:right="0" w:rightChars="0" w:firstLine="0" w:firstLineChars="0"/>
              <w:jc w:val="center"/>
              <w:textAlignment w:val="baseline"/>
              <w:rPr>
                <w:rFonts w:hint="default" w:ascii="宋体" w:hAnsi="宋体" w:cs="宋体"/>
                <w:spacing w:val="7"/>
                <w:sz w:val="20"/>
                <w:szCs w:val="20"/>
                <w:lang w:val="en-US" w:eastAsia="zh-CN"/>
              </w:rPr>
            </w:pPr>
            <w:r>
              <w:rPr>
                <w:rFonts w:hint="eastAsia" w:ascii="宋体" w:hAnsi="宋体" w:cs="宋体"/>
                <w:spacing w:val="7"/>
                <w:sz w:val="20"/>
                <w:szCs w:val="20"/>
                <w:lang w:val="en-US" w:eastAsia="zh-CN"/>
              </w:rPr>
              <w:t>审批人</w:t>
            </w:r>
          </w:p>
        </w:tc>
        <w:tc>
          <w:tcPr>
            <w:tcW w:w="915" w:type="dxa"/>
          </w:tcPr>
          <w:p w14:paraId="27849F43">
            <w:pPr>
              <w:keepNext w:val="0"/>
              <w:keepLines w:val="0"/>
              <w:pageBreakBefore w:val="0"/>
              <w:widowControl w:val="0"/>
              <w:kinsoku w:val="0"/>
              <w:wordWrap/>
              <w:overflowPunct/>
              <w:topLinePunct w:val="0"/>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07D5B11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1317" w:type="dxa"/>
          </w:tcPr>
          <w:p w14:paraId="5B88D831">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z w:val="20"/>
                <w:szCs w:val="20"/>
                <w:lang w:val="en-US"/>
              </w:rPr>
            </w:pPr>
            <w:r>
              <w:rPr>
                <w:rFonts w:ascii="宋体" w:hAnsi="宋体" w:eastAsia="宋体" w:cs="宋体"/>
                <w:spacing w:val="3"/>
                <w:position w:val="1"/>
                <w:sz w:val="20"/>
                <w:szCs w:val="20"/>
              </w:rPr>
              <w:t>2025.</w:t>
            </w:r>
            <w:r>
              <w:rPr>
                <w:rFonts w:hint="eastAsia" w:ascii="宋体" w:hAnsi="宋体" w:cs="宋体"/>
                <w:spacing w:val="3"/>
                <w:position w:val="1"/>
                <w:sz w:val="20"/>
                <w:szCs w:val="20"/>
                <w:lang w:val="en-US" w:eastAsia="zh-CN"/>
              </w:rPr>
              <w:t>11</w:t>
            </w:r>
            <w:r>
              <w:rPr>
                <w:rFonts w:ascii="宋体" w:hAnsi="宋体" w:eastAsia="宋体" w:cs="宋体"/>
                <w:spacing w:val="3"/>
                <w:position w:val="1"/>
                <w:sz w:val="20"/>
                <w:szCs w:val="20"/>
              </w:rPr>
              <w:t>.</w:t>
            </w:r>
            <w:r>
              <w:rPr>
                <w:rFonts w:hint="eastAsia" w:ascii="宋体" w:hAnsi="宋体" w:cs="宋体"/>
                <w:spacing w:val="3"/>
                <w:position w:val="1"/>
                <w:sz w:val="20"/>
                <w:szCs w:val="20"/>
                <w:lang w:val="en-US" w:eastAsia="zh-CN"/>
              </w:rPr>
              <w:t>10</w:t>
            </w:r>
          </w:p>
        </w:tc>
        <w:tc>
          <w:tcPr>
            <w:tcW w:w="972" w:type="dxa"/>
          </w:tcPr>
          <w:p w14:paraId="30D7C46B">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position w:val="1"/>
                <w:sz w:val="20"/>
                <w:szCs w:val="20"/>
              </w:rPr>
              <w:t>V1.0</w:t>
            </w:r>
          </w:p>
        </w:tc>
        <w:tc>
          <w:tcPr>
            <w:tcW w:w="1575" w:type="dxa"/>
          </w:tcPr>
          <w:p w14:paraId="4AD8FD4F">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200"/>
                <w:kern w:val="0"/>
                <w:sz w:val="20"/>
                <w:szCs w:val="20"/>
              </w:rPr>
              <w:t>新</w:t>
            </w:r>
            <w:r>
              <w:rPr>
                <w:rFonts w:ascii="宋体" w:hAnsi="宋体" w:eastAsia="宋体" w:cs="宋体"/>
                <w:spacing w:val="0"/>
                <w:kern w:val="0"/>
                <w:sz w:val="20"/>
                <w:szCs w:val="20"/>
              </w:rPr>
              <w:t>建</w:t>
            </w:r>
          </w:p>
        </w:tc>
        <w:tc>
          <w:tcPr>
            <w:tcW w:w="1829" w:type="dxa"/>
          </w:tcPr>
          <w:p w14:paraId="255333E3">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Theme="minorAscii" w:hAnsiTheme="minorAscii" w:eastAsiaTheme="minorEastAsia"/>
                <w:spacing w:val="0"/>
                <w:kern w:val="0"/>
                <w:sz w:val="21"/>
                <w:vertAlign w:val="baseline"/>
                <w:lang w:val="en-US" w:eastAsia="zh-CN"/>
              </w:rPr>
              <w:t>徐超超</w:t>
            </w:r>
          </w:p>
        </w:tc>
        <w:tc>
          <w:tcPr>
            <w:tcW w:w="1606" w:type="dxa"/>
          </w:tcPr>
          <w:p w14:paraId="4787C13C">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宋体" w:hAnsi="宋体" w:eastAsia="宋体" w:cs="宋体"/>
                <w:spacing w:val="200"/>
                <w:kern w:val="0"/>
                <w:sz w:val="20"/>
                <w:szCs w:val="20"/>
              </w:rPr>
              <w:t>何</w:t>
            </w:r>
            <w:r>
              <w:rPr>
                <w:rFonts w:hint="eastAsia" w:asciiTheme="minorAscii" w:hAnsiTheme="minorAscii" w:eastAsiaTheme="minorEastAsia"/>
                <w:spacing w:val="0"/>
                <w:kern w:val="0"/>
                <w:sz w:val="21"/>
                <w:vertAlign w:val="baseline"/>
                <w:lang w:val="en-US" w:eastAsia="zh-CN"/>
              </w:rPr>
              <w:t>峻</w:t>
            </w:r>
          </w:p>
        </w:tc>
        <w:tc>
          <w:tcPr>
            <w:tcW w:w="915" w:type="dxa"/>
          </w:tcPr>
          <w:p w14:paraId="07A42521">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z w:val="20"/>
                <w:szCs w:val="20"/>
              </w:rPr>
            </w:pPr>
            <w:r>
              <w:rPr>
                <w:rFonts w:hint="eastAsia" w:asciiTheme="minorAscii" w:hAnsiTheme="minorAscii" w:eastAsiaTheme="minorEastAsia"/>
                <w:spacing w:val="0"/>
                <w:kern w:val="0"/>
                <w:sz w:val="21"/>
                <w:vertAlign w:val="baseline"/>
                <w:lang w:val="en-US" w:eastAsia="zh-CN"/>
              </w:rPr>
              <w:t>涂志云</w:t>
            </w:r>
          </w:p>
        </w:tc>
      </w:tr>
      <w:tr w14:paraId="48C0911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0303177F">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72" w:type="dxa"/>
          </w:tcPr>
          <w:p w14:paraId="34CAB749">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575" w:type="dxa"/>
          </w:tcPr>
          <w:p w14:paraId="530B25AF">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829" w:type="dxa"/>
          </w:tcPr>
          <w:p w14:paraId="1618306F">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606" w:type="dxa"/>
          </w:tcPr>
          <w:p w14:paraId="4E9592F5">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5" w:type="dxa"/>
          </w:tcPr>
          <w:p w14:paraId="4438C597">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r w14:paraId="5E76BC8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40DD7926">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72" w:type="dxa"/>
          </w:tcPr>
          <w:p w14:paraId="6CB5E95F">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575" w:type="dxa"/>
          </w:tcPr>
          <w:p w14:paraId="1346FEB0">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829" w:type="dxa"/>
          </w:tcPr>
          <w:p w14:paraId="354FD34D">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606" w:type="dxa"/>
          </w:tcPr>
          <w:p w14:paraId="3ADDC631">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5" w:type="dxa"/>
          </w:tcPr>
          <w:p w14:paraId="7C6709BA">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r w14:paraId="17DCCC3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1317" w:type="dxa"/>
          </w:tcPr>
          <w:p w14:paraId="6D152CE3">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72" w:type="dxa"/>
          </w:tcPr>
          <w:p w14:paraId="3F27F4A8">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575" w:type="dxa"/>
          </w:tcPr>
          <w:p w14:paraId="661AD4A2">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829" w:type="dxa"/>
          </w:tcPr>
          <w:p w14:paraId="0D0B5AF2">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606" w:type="dxa"/>
          </w:tcPr>
          <w:p w14:paraId="1EAE7BC0">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5" w:type="dxa"/>
          </w:tcPr>
          <w:p w14:paraId="55389588">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bl>
    <w:p w14:paraId="098F5BF7">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0D916966">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宋体" w:hAnsi="宋体" w:eastAsia="宋体" w:cs="宋体"/>
              <w:sz w:val="24"/>
              <w:szCs w:val="24"/>
            </w:rPr>
          </w:pPr>
          <w:r>
            <w:rPr>
              <w:rFonts w:hint="eastAsia" w:ascii="宋体" w:hAnsi="宋体" w:eastAsia="宋体" w:cs="宋体"/>
              <w:sz w:val="24"/>
              <w:szCs w:val="24"/>
            </w:rPr>
            <w:t>目录</w:t>
          </w:r>
        </w:p>
        <w:p w14:paraId="23DE98B0">
          <w:pPr>
            <w:pStyle w:val="16"/>
            <w:tabs>
              <w:tab w:val="right" w:leader="dot" w:pos="8306"/>
            </w:tabs>
          </w:pPr>
          <w:bookmarkStart w:id="10" w:name="_GoBack"/>
          <w:bookmarkEnd w:id="10"/>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_Toc14559 </w:instrText>
          </w:r>
          <w:r>
            <w:rPr>
              <w:rFonts w:hint="eastAsia" w:ascii="宋体" w:hAnsi="宋体" w:eastAsia="宋体" w:cs="宋体"/>
              <w:szCs w:val="24"/>
            </w:rPr>
            <w:fldChar w:fldCharType="separate"/>
          </w:r>
          <w:r>
            <w:rPr>
              <w:rFonts w:hint="eastAsia"/>
              <w:lang w:val="en-US" w:eastAsia="zh-CN"/>
            </w:rPr>
            <w:t>江西通信产业服务有限公司</w:t>
          </w:r>
          <w:r>
            <w:tab/>
          </w:r>
          <w:r>
            <w:fldChar w:fldCharType="begin"/>
          </w:r>
          <w:r>
            <w:instrText xml:space="preserve"> PAGEREF _Toc14559 \h </w:instrText>
          </w:r>
          <w:r>
            <w:fldChar w:fldCharType="separate"/>
          </w:r>
          <w:r>
            <w:t>1</w:t>
          </w:r>
          <w:r>
            <w:fldChar w:fldCharType="end"/>
          </w:r>
          <w:r>
            <w:rPr>
              <w:rFonts w:hint="eastAsia" w:ascii="宋体" w:hAnsi="宋体" w:eastAsia="宋体" w:cs="宋体"/>
              <w:szCs w:val="24"/>
            </w:rPr>
            <w:fldChar w:fldCharType="end"/>
          </w:r>
        </w:p>
        <w:p w14:paraId="1C1D0A92">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_Toc11429 </w:instrText>
          </w:r>
          <w:r>
            <w:rPr>
              <w:rFonts w:hint="eastAsia" w:ascii="宋体" w:hAnsi="宋体" w:eastAsia="宋体" w:cs="宋体"/>
              <w:szCs w:val="24"/>
            </w:rPr>
            <w:fldChar w:fldCharType="separate"/>
          </w:r>
          <w:r>
            <w:rPr>
              <w:rFonts w:hint="eastAsia"/>
              <w:lang w:val="en-US" w:eastAsia="zh-CN"/>
            </w:rPr>
            <w:t>翔云系统运维服务项目</w:t>
          </w:r>
          <w:r>
            <w:tab/>
          </w:r>
          <w:r>
            <w:fldChar w:fldCharType="begin"/>
          </w:r>
          <w:r>
            <w:instrText xml:space="preserve"> PAGEREF _Toc11429 \h </w:instrText>
          </w:r>
          <w:r>
            <w:fldChar w:fldCharType="separate"/>
          </w:r>
          <w:r>
            <w:t>1</w:t>
          </w:r>
          <w:r>
            <w:fldChar w:fldCharType="end"/>
          </w:r>
          <w:r>
            <w:rPr>
              <w:rFonts w:hint="eastAsia" w:ascii="宋体" w:hAnsi="宋体" w:eastAsia="宋体" w:cs="宋体"/>
              <w:szCs w:val="24"/>
            </w:rPr>
            <w:fldChar w:fldCharType="end"/>
          </w:r>
        </w:p>
        <w:p w14:paraId="30A09669">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_Toc12913 </w:instrText>
          </w:r>
          <w:r>
            <w:rPr>
              <w:rFonts w:hint="eastAsia" w:ascii="宋体" w:hAnsi="宋体" w:eastAsia="宋体" w:cs="宋体"/>
              <w:szCs w:val="24"/>
            </w:rPr>
            <w:fldChar w:fldCharType="separate"/>
          </w:r>
          <w:r>
            <w:rPr>
              <w:rFonts w:hint="eastAsia"/>
              <w:lang w:val="en-US" w:eastAsia="zh-CN"/>
            </w:rPr>
            <w:t>应急演练报告</w:t>
          </w:r>
          <w:r>
            <w:tab/>
          </w:r>
          <w:r>
            <w:fldChar w:fldCharType="begin"/>
          </w:r>
          <w:r>
            <w:instrText xml:space="preserve"> PAGEREF _Toc12913 \h </w:instrText>
          </w:r>
          <w:r>
            <w:fldChar w:fldCharType="separate"/>
          </w:r>
          <w:r>
            <w:t>1</w:t>
          </w:r>
          <w:r>
            <w:fldChar w:fldCharType="end"/>
          </w:r>
          <w:r>
            <w:rPr>
              <w:rFonts w:hint="eastAsia" w:ascii="宋体" w:hAnsi="宋体" w:eastAsia="宋体" w:cs="宋体"/>
              <w:szCs w:val="24"/>
            </w:rPr>
            <w:fldChar w:fldCharType="end"/>
          </w:r>
        </w:p>
        <w:p w14:paraId="06E1FF42">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_Toc27486 </w:instrText>
          </w:r>
          <w:r>
            <w:rPr>
              <w:rFonts w:hint="eastAsia" w:ascii="宋体" w:hAnsi="宋体" w:eastAsia="宋体" w:cs="宋体"/>
              <w:szCs w:val="24"/>
            </w:rPr>
            <w:fldChar w:fldCharType="separate"/>
          </w:r>
          <w:r>
            <w:rPr>
              <w:rFonts w:hint="default"/>
              <w:lang w:val="en-US" w:eastAsia="zh-CN"/>
            </w:rPr>
            <w:t>1. 摘要</w:t>
          </w:r>
          <w:r>
            <w:tab/>
          </w:r>
          <w:r>
            <w:fldChar w:fldCharType="begin"/>
          </w:r>
          <w:r>
            <w:instrText xml:space="preserve"> PAGEREF _Toc27486 \h </w:instrText>
          </w:r>
          <w:r>
            <w:fldChar w:fldCharType="separate"/>
          </w:r>
          <w:r>
            <w:t>4</w:t>
          </w:r>
          <w:r>
            <w:fldChar w:fldCharType="end"/>
          </w:r>
          <w:r>
            <w:rPr>
              <w:rFonts w:hint="eastAsia" w:ascii="宋体" w:hAnsi="宋体" w:eastAsia="宋体" w:cs="宋体"/>
              <w:szCs w:val="24"/>
            </w:rPr>
            <w:fldChar w:fldCharType="end"/>
          </w:r>
        </w:p>
        <w:p w14:paraId="70808973">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_Toc22677 </w:instrText>
          </w:r>
          <w:r>
            <w:rPr>
              <w:rFonts w:hint="eastAsia" w:ascii="宋体" w:hAnsi="宋体" w:eastAsia="宋体" w:cs="宋体"/>
              <w:szCs w:val="24"/>
            </w:rPr>
            <w:fldChar w:fldCharType="separate"/>
          </w:r>
          <w:r>
            <w:rPr>
              <w:rFonts w:hint="default"/>
              <w:lang w:val="en-US" w:eastAsia="zh-CN"/>
            </w:rPr>
            <w:t>2. 演练概述</w:t>
          </w:r>
          <w:r>
            <w:tab/>
          </w:r>
          <w:r>
            <w:fldChar w:fldCharType="begin"/>
          </w:r>
          <w:r>
            <w:instrText xml:space="preserve"> PAGEREF _Toc22677 \h </w:instrText>
          </w:r>
          <w:r>
            <w:fldChar w:fldCharType="separate"/>
          </w:r>
          <w:r>
            <w:t>4</w:t>
          </w:r>
          <w:r>
            <w:fldChar w:fldCharType="end"/>
          </w:r>
          <w:r>
            <w:rPr>
              <w:rFonts w:hint="eastAsia" w:ascii="宋体" w:hAnsi="宋体" w:eastAsia="宋体" w:cs="宋体"/>
              <w:szCs w:val="24"/>
            </w:rPr>
            <w:fldChar w:fldCharType="end"/>
          </w:r>
        </w:p>
        <w:p w14:paraId="592A8B69">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_Toc9258 </w:instrText>
          </w:r>
          <w:r>
            <w:rPr>
              <w:rFonts w:hint="eastAsia" w:ascii="宋体" w:hAnsi="宋体" w:eastAsia="宋体" w:cs="宋体"/>
              <w:szCs w:val="24"/>
            </w:rPr>
            <w:fldChar w:fldCharType="separate"/>
          </w:r>
          <w:r>
            <w:rPr>
              <w:rFonts w:hint="default"/>
              <w:lang w:val="en-US" w:eastAsia="zh-CN"/>
            </w:rPr>
            <w:t>3. 演练目标达成情况评估</w:t>
          </w:r>
          <w:r>
            <w:tab/>
          </w:r>
          <w:r>
            <w:fldChar w:fldCharType="begin"/>
          </w:r>
          <w:r>
            <w:instrText xml:space="preserve"> PAGEREF _Toc9258 \h </w:instrText>
          </w:r>
          <w:r>
            <w:fldChar w:fldCharType="separate"/>
          </w:r>
          <w:r>
            <w:t>4</w:t>
          </w:r>
          <w:r>
            <w:fldChar w:fldCharType="end"/>
          </w:r>
          <w:r>
            <w:rPr>
              <w:rFonts w:hint="eastAsia" w:ascii="宋体" w:hAnsi="宋体" w:eastAsia="宋体" w:cs="宋体"/>
              <w:szCs w:val="24"/>
            </w:rPr>
            <w:fldChar w:fldCharType="end"/>
          </w:r>
        </w:p>
        <w:p w14:paraId="1352389A">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_Toc13871 </w:instrText>
          </w:r>
          <w:r>
            <w:rPr>
              <w:rFonts w:hint="eastAsia" w:ascii="宋体" w:hAnsi="宋体" w:eastAsia="宋体" w:cs="宋体"/>
              <w:szCs w:val="24"/>
            </w:rPr>
            <w:fldChar w:fldCharType="separate"/>
          </w:r>
          <w:r>
            <w:rPr>
              <w:rFonts w:hint="default"/>
              <w:lang w:val="en-US" w:eastAsia="zh-CN"/>
            </w:rPr>
            <w:t>4. 演练过程关键发现</w:t>
          </w:r>
          <w:r>
            <w:tab/>
          </w:r>
          <w:r>
            <w:fldChar w:fldCharType="begin"/>
          </w:r>
          <w:r>
            <w:instrText xml:space="preserve"> PAGEREF _Toc13871 \h </w:instrText>
          </w:r>
          <w:r>
            <w:fldChar w:fldCharType="separate"/>
          </w:r>
          <w:r>
            <w:t>5</w:t>
          </w:r>
          <w:r>
            <w:fldChar w:fldCharType="end"/>
          </w:r>
          <w:r>
            <w:rPr>
              <w:rFonts w:hint="eastAsia" w:ascii="宋体" w:hAnsi="宋体" w:eastAsia="宋体" w:cs="宋体"/>
              <w:szCs w:val="24"/>
            </w:rPr>
            <w:fldChar w:fldCharType="end"/>
          </w:r>
        </w:p>
        <w:p w14:paraId="396826F8">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_Toc22146 </w:instrText>
          </w:r>
          <w:r>
            <w:rPr>
              <w:rFonts w:hint="eastAsia" w:ascii="宋体" w:hAnsi="宋体" w:eastAsia="宋体" w:cs="宋体"/>
              <w:szCs w:val="24"/>
            </w:rPr>
            <w:fldChar w:fldCharType="separate"/>
          </w:r>
          <w:r>
            <w:rPr>
              <w:rFonts w:hint="default"/>
              <w:lang w:val="en-US" w:eastAsia="zh-CN"/>
            </w:rPr>
            <w:t>5. 改进措施与跟踪计划</w:t>
          </w:r>
          <w:r>
            <w:tab/>
          </w:r>
          <w:r>
            <w:fldChar w:fldCharType="begin"/>
          </w:r>
          <w:r>
            <w:instrText xml:space="preserve"> PAGEREF _Toc22146 \h </w:instrText>
          </w:r>
          <w:r>
            <w:fldChar w:fldCharType="separate"/>
          </w:r>
          <w:r>
            <w:t>5</w:t>
          </w:r>
          <w:r>
            <w:fldChar w:fldCharType="end"/>
          </w:r>
          <w:r>
            <w:rPr>
              <w:rFonts w:hint="eastAsia" w:ascii="宋体" w:hAnsi="宋体" w:eastAsia="宋体" w:cs="宋体"/>
              <w:szCs w:val="24"/>
            </w:rPr>
            <w:fldChar w:fldCharType="end"/>
          </w:r>
        </w:p>
        <w:p w14:paraId="2F02554A">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_Toc5209 </w:instrText>
          </w:r>
          <w:r>
            <w:rPr>
              <w:rFonts w:hint="eastAsia" w:ascii="宋体" w:hAnsi="宋体" w:eastAsia="宋体" w:cs="宋体"/>
              <w:szCs w:val="24"/>
            </w:rPr>
            <w:fldChar w:fldCharType="separate"/>
          </w:r>
          <w:r>
            <w:rPr>
              <w:rFonts w:hint="default"/>
              <w:lang w:val="en-US" w:eastAsia="zh-CN"/>
            </w:rPr>
            <w:t>6. 知识沉淀成果</w:t>
          </w:r>
          <w:r>
            <w:tab/>
          </w:r>
          <w:r>
            <w:fldChar w:fldCharType="begin"/>
          </w:r>
          <w:r>
            <w:instrText xml:space="preserve"> PAGEREF _Toc5209 \h </w:instrText>
          </w:r>
          <w:r>
            <w:fldChar w:fldCharType="separate"/>
          </w:r>
          <w:r>
            <w:t>6</w:t>
          </w:r>
          <w:r>
            <w:fldChar w:fldCharType="end"/>
          </w:r>
          <w:r>
            <w:rPr>
              <w:rFonts w:hint="eastAsia" w:ascii="宋体" w:hAnsi="宋体" w:eastAsia="宋体" w:cs="宋体"/>
              <w:szCs w:val="24"/>
            </w:rPr>
            <w:fldChar w:fldCharType="end"/>
          </w:r>
        </w:p>
        <w:p w14:paraId="4A84AE39">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_Toc22672 </w:instrText>
          </w:r>
          <w:r>
            <w:rPr>
              <w:rFonts w:hint="eastAsia" w:ascii="宋体" w:hAnsi="宋体" w:eastAsia="宋体" w:cs="宋体"/>
              <w:szCs w:val="24"/>
            </w:rPr>
            <w:fldChar w:fldCharType="separate"/>
          </w:r>
          <w:r>
            <w:rPr>
              <w:rFonts w:hint="default"/>
              <w:lang w:val="en-US" w:eastAsia="zh-CN"/>
            </w:rPr>
            <w:t>7. 结论与建议</w:t>
          </w:r>
          <w:r>
            <w:tab/>
          </w:r>
          <w:r>
            <w:fldChar w:fldCharType="begin"/>
          </w:r>
          <w:r>
            <w:instrText xml:space="preserve"> PAGEREF _Toc22672 \h </w:instrText>
          </w:r>
          <w:r>
            <w:fldChar w:fldCharType="separate"/>
          </w:r>
          <w:r>
            <w:t>6</w:t>
          </w:r>
          <w:r>
            <w:fldChar w:fldCharType="end"/>
          </w:r>
          <w:r>
            <w:rPr>
              <w:rFonts w:hint="eastAsia" w:ascii="宋体" w:hAnsi="宋体" w:eastAsia="宋体" w:cs="宋体"/>
              <w:szCs w:val="24"/>
            </w:rPr>
            <w:fldChar w:fldCharType="end"/>
          </w:r>
        </w:p>
        <w:p w14:paraId="2F839ABE">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03359040">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27682A35">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 w:name="_Toc27486"/>
      <w:r>
        <w:rPr>
          <w:rFonts w:hint="default"/>
          <w:lang w:val="en-US" w:eastAsia="zh-CN"/>
        </w:rPr>
        <w:t>摘要</w:t>
      </w:r>
      <w:bookmarkEnd w:id="3"/>
    </w:p>
    <w:p w14:paraId="06F4984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次演练于2025年10月15日成功举行，旨在检验项目团队对“核心财务模块瘫痪及关键外部接口中断”这一P1级复合事件的应急响应能力。演练严格遵循《应急演练大纲》与《应急演练预案》，通过模拟真实场景，全面验证了应急管理部的指挥机制、跨团队协同流程及合同SLA符合性。演练基本达成预设目标，同时在恢复时效、指挥设备、内部沟通三方面识别出改进项，已制定改进计划并纳入跟踪。</w:t>
      </w:r>
    </w:p>
    <w:p w14:paraId="46AB833E">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 w:name="_Toc22677"/>
      <w:r>
        <w:rPr>
          <w:rFonts w:hint="default"/>
          <w:lang w:val="en-US" w:eastAsia="zh-CN"/>
        </w:rPr>
        <w:t>演练概述</w:t>
      </w:r>
      <w:bookmarkEnd w:id="4"/>
    </w:p>
    <w:p w14:paraId="5DD7D1C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演练目的：检验P1级事件下，从事件上报、应急管理部成立、协同处置到业务恢复的全流程；验证《运维应急管理制度》与合同SLA的执行符合性；沉淀应急操作知识。</w:t>
      </w:r>
    </w:p>
    <w:p w14:paraId="2FD02C3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演练类型：模拟演练（测试环境）。</w:t>
      </w:r>
    </w:p>
    <w:p w14:paraId="46A1EBD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参演团队：应急管理部（指挥长、副指挥长、成员）、</w:t>
      </w:r>
      <w:r>
        <w:rPr>
          <w:rFonts w:hint="eastAsia"/>
          <w:lang w:val="en-US" w:eastAsia="zh-CN"/>
        </w:rPr>
        <w:t>数智运营部、研发总院</w:t>
      </w:r>
      <w:r>
        <w:rPr>
          <w:rFonts w:hint="default"/>
          <w:lang w:val="en-US" w:eastAsia="zh-CN"/>
        </w:rPr>
        <w:t>。</w:t>
      </w:r>
    </w:p>
    <w:p w14:paraId="4DFF53E1">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 w:name="_Toc9258"/>
      <w:r>
        <w:rPr>
          <w:rFonts w:hint="default"/>
          <w:lang w:val="en-US" w:eastAsia="zh-CN"/>
        </w:rPr>
        <w:t>演练目标达成情况评估</w:t>
      </w:r>
      <w:bookmarkEnd w:id="5"/>
    </w:p>
    <w:tbl>
      <w:tblPr>
        <w:tblStyle w:val="2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139"/>
        <w:gridCol w:w="1909"/>
        <w:gridCol w:w="2186"/>
        <w:gridCol w:w="1151"/>
        <w:gridCol w:w="2137"/>
      </w:tblGrid>
      <w:tr w14:paraId="458D0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tblHeader/>
          <w:jc w:val="center"/>
        </w:trPr>
        <w:tc>
          <w:tcPr>
            <w:tcW w:w="1139" w:type="dxa"/>
            <w:tcBorders>
              <w:top w:val="single" w:color="auto" w:sz="12"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61B44E9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bidi="ar"/>
              </w:rPr>
              <w:t>评估维度</w:t>
            </w:r>
          </w:p>
        </w:tc>
        <w:tc>
          <w:tcPr>
            <w:tcW w:w="1909" w:type="dxa"/>
            <w:tcBorders>
              <w:top w:val="single" w:color="auto" w:sz="12"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10C052A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bidi="ar"/>
              </w:rPr>
              <w:t>预案目标</w:t>
            </w:r>
          </w:p>
        </w:tc>
        <w:tc>
          <w:tcPr>
            <w:tcW w:w="2186" w:type="dxa"/>
            <w:tcBorders>
              <w:top w:val="single" w:color="auto" w:sz="12"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0413564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bidi="ar"/>
              </w:rPr>
              <w:t>实际表现</w:t>
            </w:r>
          </w:p>
        </w:tc>
        <w:tc>
          <w:tcPr>
            <w:tcW w:w="1151" w:type="dxa"/>
            <w:tcBorders>
              <w:top w:val="single" w:color="auto" w:sz="12"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3F6DAFD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bidi="ar"/>
              </w:rPr>
              <w:t>评估结果</w:t>
            </w:r>
          </w:p>
        </w:tc>
        <w:tc>
          <w:tcPr>
            <w:tcW w:w="2137" w:type="dxa"/>
            <w:tcBorders>
              <w:top w:val="single" w:color="auto" w:sz="12" w:space="0"/>
              <w:left w:val="single" w:color="auto" w:sz="4" w:space="0"/>
              <w:bottom w:val="single" w:color="auto" w:sz="4" w:space="0"/>
              <w:right w:val="single" w:color="auto" w:sz="12" w:space="0"/>
            </w:tcBorders>
            <w:shd w:val="clear" w:color="auto" w:fill="auto"/>
            <w:tcMar>
              <w:top w:w="120" w:type="dxa"/>
              <w:left w:w="192" w:type="dxa"/>
              <w:bottom w:w="120" w:type="dxa"/>
              <w:right w:w="192" w:type="dxa"/>
            </w:tcMar>
            <w:vAlign w:val="center"/>
          </w:tcPr>
          <w:p w14:paraId="0D61FD8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bidi="ar"/>
              </w:rPr>
              <w:t>说明</w:t>
            </w:r>
          </w:p>
        </w:tc>
      </w:tr>
      <w:tr w14:paraId="3B90D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jc w:val="center"/>
        </w:trPr>
        <w:tc>
          <w:tcPr>
            <w:tcW w:w="1139"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2F8CB42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bidi="ar"/>
              </w:rPr>
              <w:t>架构合规性</w:t>
            </w:r>
          </w:p>
        </w:tc>
        <w:tc>
          <w:tcPr>
            <w:tcW w:w="1909"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27FF0B1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应急管理部按规定成立并运作</w:t>
            </w:r>
          </w:p>
        </w:tc>
        <w:tc>
          <w:tcPr>
            <w:tcW w:w="2186"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6FA141F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事件上报后9分20秒内成立，指挥有效</w:t>
            </w:r>
          </w:p>
        </w:tc>
        <w:tc>
          <w:tcPr>
            <w:tcW w:w="1151"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0232190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bidi="ar"/>
              </w:rPr>
              <w:t>✔ 完全达成</w:t>
            </w:r>
          </w:p>
        </w:tc>
        <w:tc>
          <w:tcPr>
            <w:tcW w:w="2137"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00A2A4A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核心指挥机制得到成功验证</w:t>
            </w:r>
          </w:p>
        </w:tc>
      </w:tr>
      <w:tr w14:paraId="65D06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jc w:val="center"/>
        </w:trPr>
        <w:tc>
          <w:tcPr>
            <w:tcW w:w="1139"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0F5E433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bidi="ar"/>
              </w:rPr>
              <w:t>SLA时效性</w:t>
            </w:r>
          </w:p>
        </w:tc>
        <w:tc>
          <w:tcPr>
            <w:tcW w:w="1909"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6B1FB10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15分钟内响应，2小时内恢复</w:t>
            </w:r>
          </w:p>
        </w:tc>
        <w:tc>
          <w:tcPr>
            <w:tcW w:w="2186"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2791AD6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14分40秒响应（达标），2小时10分恢复</w:t>
            </w:r>
          </w:p>
        </w:tc>
        <w:tc>
          <w:tcPr>
            <w:tcW w:w="1151"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24991F9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bidi="ar"/>
              </w:rPr>
              <w:t>⚠ 部分达成</w:t>
            </w:r>
          </w:p>
        </w:tc>
        <w:tc>
          <w:tcPr>
            <w:tcW w:w="2137"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34475D6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恢复时间因测试环境资源问题超时10分钟</w:t>
            </w:r>
          </w:p>
        </w:tc>
      </w:tr>
      <w:tr w14:paraId="110E0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jc w:val="center"/>
        </w:trPr>
        <w:tc>
          <w:tcPr>
            <w:tcW w:w="1139"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28210BA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bidi="ar"/>
              </w:rPr>
              <w:t>流程符合性</w:t>
            </w:r>
          </w:p>
        </w:tc>
        <w:tc>
          <w:tcPr>
            <w:tcW w:w="1909"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437A17B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符合制度及预案流程</w:t>
            </w:r>
          </w:p>
        </w:tc>
        <w:tc>
          <w:tcPr>
            <w:tcW w:w="2186"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54995F2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各环节执行无跳步，与预案高度一致</w:t>
            </w:r>
          </w:p>
        </w:tc>
        <w:tc>
          <w:tcPr>
            <w:tcW w:w="1151"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631B10F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bidi="ar"/>
              </w:rPr>
              <w:t>✔ 完全达成</w:t>
            </w:r>
          </w:p>
        </w:tc>
        <w:tc>
          <w:tcPr>
            <w:tcW w:w="2137"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6B63FF4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流程执行力良好</w:t>
            </w:r>
          </w:p>
        </w:tc>
      </w:tr>
      <w:tr w14:paraId="470F6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jc w:val="center"/>
        </w:trPr>
        <w:tc>
          <w:tcPr>
            <w:tcW w:w="1139"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5C1BE40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bidi="ar"/>
              </w:rPr>
              <w:t>沟通有效性</w:t>
            </w:r>
          </w:p>
        </w:tc>
        <w:tc>
          <w:tcPr>
            <w:tcW w:w="1909"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196FEE5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内外沟通准确、及时</w:t>
            </w:r>
          </w:p>
        </w:tc>
        <w:tc>
          <w:tcPr>
            <w:tcW w:w="2186"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77850FE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内部上报清晰，对外发送4次通告均准时</w:t>
            </w:r>
          </w:p>
        </w:tc>
        <w:tc>
          <w:tcPr>
            <w:tcW w:w="1151"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4F380DE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bidi="ar"/>
              </w:rPr>
              <w:t>✔ 完全达成</w:t>
            </w:r>
          </w:p>
        </w:tc>
        <w:tc>
          <w:tcPr>
            <w:tcW w:w="2137"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159F789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沟通流程执行到位</w:t>
            </w:r>
          </w:p>
        </w:tc>
      </w:tr>
      <w:tr w14:paraId="4C7C6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jc w:val="center"/>
        </w:trPr>
        <w:tc>
          <w:tcPr>
            <w:tcW w:w="1139"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1EA6984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bidi="ar"/>
              </w:rPr>
              <w:t>团队协同性</w:t>
            </w:r>
          </w:p>
        </w:tc>
        <w:tc>
          <w:tcPr>
            <w:tcW w:w="1909"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36ABF37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跨团队信息共享与行动协同顺畅</w:t>
            </w:r>
          </w:p>
        </w:tc>
        <w:tc>
          <w:tcPr>
            <w:tcW w:w="2186"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779D7AB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在应急管理部调度下，协作良好</w:t>
            </w:r>
          </w:p>
        </w:tc>
        <w:tc>
          <w:tcPr>
            <w:tcW w:w="1151"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193A123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bidi="ar"/>
              </w:rPr>
              <w:t>✔ 达成</w:t>
            </w:r>
          </w:p>
        </w:tc>
        <w:tc>
          <w:tcPr>
            <w:tcW w:w="2137"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7E27EAD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协同机制运作正常</w:t>
            </w:r>
          </w:p>
        </w:tc>
      </w:tr>
      <w:tr w14:paraId="57C8F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jc w:val="center"/>
        </w:trPr>
        <w:tc>
          <w:tcPr>
            <w:tcW w:w="1139" w:type="dxa"/>
            <w:tcBorders>
              <w:top w:val="single" w:color="auto" w:sz="4" w:space="0"/>
              <w:left w:val="single" w:color="auto" w:sz="12" w:space="0"/>
              <w:bottom w:val="single" w:color="auto" w:sz="12" w:space="0"/>
              <w:right w:val="single" w:color="auto" w:sz="4" w:space="0"/>
            </w:tcBorders>
            <w:shd w:val="clear" w:color="auto" w:fill="auto"/>
            <w:tcMar>
              <w:top w:w="120" w:type="dxa"/>
              <w:left w:w="0" w:type="dxa"/>
              <w:bottom w:w="120" w:type="dxa"/>
              <w:right w:w="192" w:type="dxa"/>
            </w:tcMar>
            <w:vAlign w:val="center"/>
          </w:tcPr>
          <w:p w14:paraId="1A58774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bidi="ar"/>
              </w:rPr>
              <w:t>知识采集</w:t>
            </w:r>
          </w:p>
        </w:tc>
        <w:tc>
          <w:tcPr>
            <w:tcW w:w="1909" w:type="dxa"/>
            <w:tcBorders>
              <w:top w:val="single" w:color="auto" w:sz="4" w:space="0"/>
              <w:left w:val="single" w:color="auto" w:sz="4" w:space="0"/>
              <w:bottom w:val="single" w:color="auto" w:sz="12" w:space="0"/>
              <w:right w:val="single" w:color="auto" w:sz="4" w:space="0"/>
            </w:tcBorders>
            <w:shd w:val="clear" w:color="auto" w:fill="auto"/>
            <w:tcMar>
              <w:top w:w="120" w:type="dxa"/>
              <w:left w:w="192" w:type="dxa"/>
              <w:bottom w:w="120" w:type="dxa"/>
              <w:right w:w="192" w:type="dxa"/>
            </w:tcMar>
            <w:vAlign w:val="center"/>
          </w:tcPr>
          <w:p w14:paraId="68DBFC9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完整记录可转化知识</w:t>
            </w:r>
          </w:p>
        </w:tc>
        <w:tc>
          <w:tcPr>
            <w:tcW w:w="2186" w:type="dxa"/>
            <w:tcBorders>
              <w:top w:val="single" w:color="auto" w:sz="4" w:space="0"/>
              <w:left w:val="single" w:color="auto" w:sz="4" w:space="0"/>
              <w:bottom w:val="single" w:color="auto" w:sz="12" w:space="0"/>
              <w:right w:val="single" w:color="auto" w:sz="4" w:space="0"/>
            </w:tcBorders>
            <w:shd w:val="clear" w:color="auto" w:fill="auto"/>
            <w:tcMar>
              <w:top w:w="120" w:type="dxa"/>
              <w:left w:w="192" w:type="dxa"/>
              <w:bottom w:w="120" w:type="dxa"/>
              <w:right w:w="192" w:type="dxa"/>
            </w:tcMar>
            <w:vAlign w:val="center"/>
          </w:tcPr>
          <w:p w14:paraId="1F63B7B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采集了完整的技术步骤与决策日志</w:t>
            </w:r>
          </w:p>
        </w:tc>
        <w:tc>
          <w:tcPr>
            <w:tcW w:w="1151" w:type="dxa"/>
            <w:tcBorders>
              <w:top w:val="single" w:color="auto" w:sz="4" w:space="0"/>
              <w:left w:val="single" w:color="auto" w:sz="4" w:space="0"/>
              <w:bottom w:val="single" w:color="auto" w:sz="12" w:space="0"/>
              <w:right w:val="single" w:color="auto" w:sz="4" w:space="0"/>
            </w:tcBorders>
            <w:shd w:val="clear" w:color="auto" w:fill="auto"/>
            <w:tcMar>
              <w:top w:w="120" w:type="dxa"/>
              <w:left w:w="192" w:type="dxa"/>
              <w:bottom w:w="120" w:type="dxa"/>
              <w:right w:w="192" w:type="dxa"/>
            </w:tcMar>
            <w:vAlign w:val="center"/>
          </w:tcPr>
          <w:p w14:paraId="44D46C3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bidi="ar"/>
              </w:rPr>
              <w:t>✔ 达成</w:t>
            </w:r>
          </w:p>
        </w:tc>
        <w:tc>
          <w:tcPr>
            <w:tcW w:w="2137"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0" w:type="dxa"/>
            </w:tcMar>
            <w:vAlign w:val="center"/>
          </w:tcPr>
          <w:p w14:paraId="1863048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为知识库沉淀奠定基础</w:t>
            </w:r>
          </w:p>
        </w:tc>
      </w:tr>
    </w:tbl>
    <w:p w14:paraId="76AF94A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总体结论：本次演练成功，核心流程与协同机制得到有效验证，团队应急响应能力达到预期水平。虽恢复时效未完全达标，但根本原因明确，为后续改进提供了清晰方向。</w:t>
      </w:r>
    </w:p>
    <w:p w14:paraId="0176F179">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6" w:name="_Toc13871"/>
      <w:r>
        <w:rPr>
          <w:rFonts w:hint="default"/>
          <w:lang w:val="en-US" w:eastAsia="zh-CN"/>
        </w:rPr>
        <w:t>演练过程关键发现</w:t>
      </w:r>
      <w:bookmarkEnd w:id="6"/>
    </w:p>
    <w:p w14:paraId="5320D5D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成功经验：</w:t>
      </w:r>
    </w:p>
    <w:p w14:paraId="5284AD2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应急启动迅速：服务台至应急管理部成立的决策链清晰、高效，响应启动时间控制在10分钟内。</w:t>
      </w:r>
    </w:p>
    <w:p w14:paraId="5D26785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指挥体系有效：应急管理部作为临时指挥中枢，在统筹技术排查、协调研发支持、决策恢复方案方面发挥了核心作用。</w:t>
      </w:r>
    </w:p>
    <w:p w14:paraId="3DB8A3B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流程执行规范：各岗位人员对自身职责和预案流程熟悉，操作规范，未出现流程性错误。</w:t>
      </w:r>
    </w:p>
    <w:p w14:paraId="50185160">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识别问题与根本原因分析：</w:t>
      </w:r>
    </w:p>
    <w:p w14:paraId="488EA3C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问题一：业务恢复时间略超2小时目标。</w:t>
      </w:r>
    </w:p>
    <w:p w14:paraId="302DE46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根本原因：恢复方案中“分节点恢复”步骤，因演练专用测试环境中一台服务器资源（CPU/内存）不足，导致该节点服务启动延迟约8分钟。</w:t>
      </w:r>
    </w:p>
    <w:p w14:paraId="4CDB5C9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责任团队：数智运营部。</w:t>
      </w:r>
    </w:p>
    <w:p w14:paraId="50ED64B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问题二：应急指挥中心首次会议时，共享屏幕切换不畅。</w:t>
      </w:r>
    </w:p>
    <w:p w14:paraId="284D616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根本原因：视频会议软件与投影仪存在兼容性问题，演练前未进行联合调试。</w:t>
      </w:r>
    </w:p>
    <w:p w14:paraId="7528779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责任团队：数智运营部（行政支持）。</w:t>
      </w:r>
    </w:p>
    <w:p w14:paraId="45C8570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问题三：服务台发送首条对外通告后，未在内部指挥群同步确认。</w:t>
      </w:r>
    </w:p>
    <w:p w14:paraId="76298170">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根本原因：现有沟通脚本（SOP）未明确要求此步骤，专员专注于执行对外沟通任务。</w:t>
      </w:r>
    </w:p>
    <w:p w14:paraId="4A3A019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责任团队：服务台。</w:t>
      </w:r>
    </w:p>
    <w:p w14:paraId="4A508632">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7" w:name="_Toc22146"/>
      <w:r>
        <w:rPr>
          <w:rFonts w:hint="default"/>
          <w:lang w:val="en-US" w:eastAsia="zh-CN"/>
        </w:rPr>
        <w:t>改进措施与跟踪计划</w:t>
      </w:r>
      <w:bookmarkEnd w:id="7"/>
    </w:p>
    <w:tbl>
      <w:tblPr>
        <w:tblStyle w:val="20"/>
        <w:tblW w:w="950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508"/>
        <w:gridCol w:w="2981"/>
        <w:gridCol w:w="1156"/>
        <w:gridCol w:w="1305"/>
        <w:gridCol w:w="2874"/>
        <w:gridCol w:w="677"/>
      </w:tblGrid>
      <w:tr w14:paraId="67F73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tblHeader/>
          <w:jc w:val="center"/>
        </w:trPr>
        <w:tc>
          <w:tcPr>
            <w:tcW w:w="511" w:type="dxa"/>
            <w:shd w:val="clear" w:color="auto" w:fill="auto"/>
            <w:tcMar>
              <w:top w:w="120" w:type="dxa"/>
              <w:left w:w="0" w:type="dxa"/>
              <w:bottom w:w="120" w:type="dxa"/>
              <w:right w:w="192" w:type="dxa"/>
            </w:tcMar>
            <w:vAlign w:val="center"/>
          </w:tcPr>
          <w:p w14:paraId="7596E047">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bidi="ar"/>
              </w:rPr>
              <w:t>序号</w:t>
            </w:r>
          </w:p>
        </w:tc>
        <w:tc>
          <w:tcPr>
            <w:tcW w:w="3030" w:type="dxa"/>
            <w:shd w:val="clear" w:color="auto" w:fill="auto"/>
            <w:tcMar>
              <w:top w:w="120" w:type="dxa"/>
              <w:left w:w="192" w:type="dxa"/>
              <w:bottom w:w="120" w:type="dxa"/>
              <w:right w:w="192" w:type="dxa"/>
            </w:tcMar>
            <w:vAlign w:val="center"/>
          </w:tcPr>
          <w:p w14:paraId="10CA3591">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bidi="ar"/>
              </w:rPr>
              <w:t>改进措施描述</w:t>
            </w:r>
          </w:p>
        </w:tc>
        <w:tc>
          <w:tcPr>
            <w:tcW w:w="1170" w:type="dxa"/>
            <w:shd w:val="clear" w:color="auto" w:fill="auto"/>
            <w:tcMar>
              <w:top w:w="120" w:type="dxa"/>
              <w:left w:w="192" w:type="dxa"/>
              <w:bottom w:w="120" w:type="dxa"/>
              <w:right w:w="192" w:type="dxa"/>
            </w:tcMar>
            <w:vAlign w:val="center"/>
          </w:tcPr>
          <w:p w14:paraId="5C26363A">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bidi="ar"/>
              </w:rPr>
              <w:t>责任角色/团队</w:t>
            </w:r>
          </w:p>
        </w:tc>
        <w:tc>
          <w:tcPr>
            <w:tcW w:w="1070" w:type="dxa"/>
            <w:shd w:val="clear" w:color="auto" w:fill="auto"/>
            <w:tcMar>
              <w:top w:w="120" w:type="dxa"/>
              <w:left w:w="192" w:type="dxa"/>
              <w:bottom w:w="120" w:type="dxa"/>
              <w:right w:w="192" w:type="dxa"/>
            </w:tcMar>
            <w:vAlign w:val="center"/>
          </w:tcPr>
          <w:p w14:paraId="278815C5">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bidi="ar"/>
              </w:rPr>
              <w:t>计划完成时限</w:t>
            </w:r>
          </w:p>
        </w:tc>
        <w:tc>
          <w:tcPr>
            <w:tcW w:w="2924" w:type="dxa"/>
            <w:shd w:val="clear" w:color="auto" w:fill="auto"/>
            <w:tcMar>
              <w:top w:w="120" w:type="dxa"/>
              <w:left w:w="192" w:type="dxa"/>
              <w:bottom w:w="120" w:type="dxa"/>
              <w:right w:w="192" w:type="dxa"/>
            </w:tcMar>
            <w:vAlign w:val="center"/>
          </w:tcPr>
          <w:p w14:paraId="47ED5C27">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bidi="ar"/>
              </w:rPr>
              <w:t>验收标准</w:t>
            </w:r>
          </w:p>
        </w:tc>
        <w:tc>
          <w:tcPr>
            <w:tcW w:w="680" w:type="dxa"/>
            <w:shd w:val="clear" w:color="auto" w:fill="auto"/>
            <w:tcMar>
              <w:top w:w="120" w:type="dxa"/>
              <w:left w:w="192" w:type="dxa"/>
              <w:bottom w:w="120" w:type="dxa"/>
              <w:right w:w="192" w:type="dxa"/>
            </w:tcMar>
            <w:vAlign w:val="center"/>
          </w:tcPr>
          <w:p w14:paraId="0014D348">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bidi="ar"/>
              </w:rPr>
              <w:t>当前状态</w:t>
            </w:r>
          </w:p>
        </w:tc>
      </w:tr>
      <w:tr w14:paraId="102A0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jc w:val="center"/>
        </w:trPr>
        <w:tc>
          <w:tcPr>
            <w:tcW w:w="511" w:type="dxa"/>
            <w:shd w:val="clear" w:color="auto" w:fill="auto"/>
            <w:tcMar>
              <w:top w:w="120" w:type="dxa"/>
              <w:left w:w="0" w:type="dxa"/>
              <w:bottom w:w="120" w:type="dxa"/>
              <w:right w:w="192" w:type="dxa"/>
            </w:tcMar>
            <w:vAlign w:val="center"/>
          </w:tcPr>
          <w:p w14:paraId="36211B1C">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1</w:t>
            </w:r>
          </w:p>
        </w:tc>
        <w:tc>
          <w:tcPr>
            <w:tcW w:w="3030" w:type="dxa"/>
            <w:shd w:val="clear" w:color="auto" w:fill="auto"/>
            <w:tcMar>
              <w:top w:w="120" w:type="dxa"/>
              <w:left w:w="192" w:type="dxa"/>
              <w:bottom w:w="120" w:type="dxa"/>
              <w:right w:w="192" w:type="dxa"/>
            </w:tcMar>
            <w:vAlign w:val="center"/>
          </w:tcPr>
          <w:p w14:paraId="14C2C074">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1. 将演练/应急专用测试环境的资源健康度检查纳入《演练前置检查清单》。</w:t>
            </w:r>
            <w:r>
              <w:rPr>
                <w:rFonts w:hint="default" w:ascii="Segoe UI" w:hAnsi="Segoe UI" w:eastAsia="Segoe UI" w:cs="Segoe UI"/>
                <w:i w:val="0"/>
                <w:iCs w:val="0"/>
                <w:caps w:val="0"/>
                <w:snapToGrid w:val="0"/>
                <w:color w:val="000000"/>
                <w:spacing w:val="0"/>
                <w:kern w:val="0"/>
                <w:sz w:val="18"/>
                <w:szCs w:val="18"/>
                <w:lang w:val="en-US" w:eastAsia="zh-CN" w:bidi="ar"/>
              </w:rPr>
              <w:br w:type="textWrapping"/>
            </w:r>
            <w:r>
              <w:rPr>
                <w:rFonts w:hint="default" w:ascii="Segoe UI" w:hAnsi="Segoe UI" w:eastAsia="Segoe UI" w:cs="Segoe UI"/>
                <w:i w:val="0"/>
                <w:iCs w:val="0"/>
                <w:caps w:val="0"/>
                <w:snapToGrid w:val="0"/>
                <w:color w:val="000000"/>
                <w:spacing w:val="0"/>
                <w:kern w:val="0"/>
                <w:sz w:val="18"/>
                <w:szCs w:val="18"/>
                <w:lang w:val="en-US" w:eastAsia="zh-CN" w:bidi="ar"/>
              </w:rPr>
              <w:t>2. 优化恢复脚本，增加对资源状态的预检与容错逻辑。</w:t>
            </w:r>
          </w:p>
        </w:tc>
        <w:tc>
          <w:tcPr>
            <w:tcW w:w="1170" w:type="dxa"/>
            <w:shd w:val="clear" w:color="auto" w:fill="auto"/>
            <w:tcMar>
              <w:top w:w="120" w:type="dxa"/>
              <w:left w:w="192" w:type="dxa"/>
              <w:bottom w:w="120" w:type="dxa"/>
              <w:right w:w="192" w:type="dxa"/>
            </w:tcMar>
            <w:vAlign w:val="center"/>
          </w:tcPr>
          <w:p w14:paraId="0AFF5DF3">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数智运营部</w:t>
            </w:r>
          </w:p>
        </w:tc>
        <w:tc>
          <w:tcPr>
            <w:tcW w:w="1070" w:type="dxa"/>
            <w:shd w:val="clear" w:color="auto" w:fill="auto"/>
            <w:tcMar>
              <w:top w:w="120" w:type="dxa"/>
              <w:left w:w="192" w:type="dxa"/>
              <w:bottom w:w="120" w:type="dxa"/>
              <w:right w:w="192" w:type="dxa"/>
            </w:tcMar>
            <w:vAlign w:val="center"/>
          </w:tcPr>
          <w:p w14:paraId="6998F92C">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2025-11-10</w:t>
            </w:r>
          </w:p>
        </w:tc>
        <w:tc>
          <w:tcPr>
            <w:tcW w:w="2924" w:type="dxa"/>
            <w:shd w:val="clear" w:color="auto" w:fill="auto"/>
            <w:tcMar>
              <w:top w:w="120" w:type="dxa"/>
              <w:left w:w="192" w:type="dxa"/>
              <w:bottom w:w="120" w:type="dxa"/>
              <w:right w:w="192" w:type="dxa"/>
            </w:tcMar>
            <w:vAlign w:val="center"/>
          </w:tcPr>
          <w:p w14:paraId="5DD72073">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1. 检查清单更新并发布。</w:t>
            </w:r>
            <w:r>
              <w:rPr>
                <w:rFonts w:hint="default" w:ascii="Segoe UI" w:hAnsi="Segoe UI" w:eastAsia="Segoe UI" w:cs="Segoe UI"/>
                <w:i w:val="0"/>
                <w:iCs w:val="0"/>
                <w:caps w:val="0"/>
                <w:snapToGrid w:val="0"/>
                <w:color w:val="000000"/>
                <w:spacing w:val="0"/>
                <w:kern w:val="0"/>
                <w:sz w:val="18"/>
                <w:szCs w:val="18"/>
                <w:lang w:val="en-US" w:eastAsia="zh-CN" w:bidi="ar"/>
              </w:rPr>
              <w:br w:type="textWrapping"/>
            </w:r>
            <w:r>
              <w:rPr>
                <w:rFonts w:hint="default" w:ascii="Segoe UI" w:hAnsi="Segoe UI" w:eastAsia="Segoe UI" w:cs="Segoe UI"/>
                <w:i w:val="0"/>
                <w:iCs w:val="0"/>
                <w:caps w:val="0"/>
                <w:snapToGrid w:val="0"/>
                <w:color w:val="000000"/>
                <w:spacing w:val="0"/>
                <w:kern w:val="0"/>
                <w:sz w:val="18"/>
                <w:szCs w:val="18"/>
                <w:lang w:val="en-US" w:eastAsia="zh-CN" w:bidi="ar"/>
              </w:rPr>
              <w:t>2. 新脚本在测试环境验证通过。</w:t>
            </w:r>
          </w:p>
        </w:tc>
        <w:tc>
          <w:tcPr>
            <w:tcW w:w="680" w:type="dxa"/>
            <w:shd w:val="clear" w:color="auto" w:fill="auto"/>
            <w:tcMar>
              <w:top w:w="120" w:type="dxa"/>
              <w:left w:w="192" w:type="dxa"/>
              <w:bottom w:w="120" w:type="dxa"/>
              <w:right w:w="0" w:type="dxa"/>
            </w:tcMar>
            <w:vAlign w:val="center"/>
          </w:tcPr>
          <w:p w14:paraId="0F1EF580">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待启动</w:t>
            </w:r>
          </w:p>
        </w:tc>
      </w:tr>
      <w:tr w14:paraId="3C984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jc w:val="center"/>
        </w:trPr>
        <w:tc>
          <w:tcPr>
            <w:tcW w:w="511" w:type="dxa"/>
            <w:shd w:val="clear" w:color="auto" w:fill="auto"/>
            <w:tcMar>
              <w:top w:w="120" w:type="dxa"/>
              <w:left w:w="0" w:type="dxa"/>
              <w:bottom w:w="120" w:type="dxa"/>
              <w:right w:w="192" w:type="dxa"/>
            </w:tcMar>
            <w:vAlign w:val="center"/>
          </w:tcPr>
          <w:p w14:paraId="2663CAAE">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2</w:t>
            </w:r>
          </w:p>
        </w:tc>
        <w:tc>
          <w:tcPr>
            <w:tcW w:w="3030" w:type="dxa"/>
            <w:shd w:val="clear" w:color="auto" w:fill="auto"/>
            <w:tcMar>
              <w:top w:w="120" w:type="dxa"/>
              <w:left w:w="192" w:type="dxa"/>
              <w:bottom w:w="120" w:type="dxa"/>
              <w:right w:w="192" w:type="dxa"/>
            </w:tcMar>
            <w:vAlign w:val="center"/>
          </w:tcPr>
          <w:p w14:paraId="6A2F5627">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1. 制定《应急指挥中心设备检查清单》，并于每次演练或应急前强制完成检查。</w:t>
            </w:r>
            <w:r>
              <w:rPr>
                <w:rFonts w:hint="default" w:ascii="Segoe UI" w:hAnsi="Segoe UI" w:eastAsia="Segoe UI" w:cs="Segoe UI"/>
                <w:i w:val="0"/>
                <w:iCs w:val="0"/>
                <w:caps w:val="0"/>
                <w:snapToGrid w:val="0"/>
                <w:color w:val="000000"/>
                <w:spacing w:val="0"/>
                <w:kern w:val="0"/>
                <w:sz w:val="18"/>
                <w:szCs w:val="18"/>
                <w:lang w:val="en-US" w:eastAsia="zh-CN" w:bidi="ar"/>
              </w:rPr>
              <w:br w:type="textWrapping"/>
            </w:r>
            <w:r>
              <w:rPr>
                <w:rFonts w:hint="default" w:ascii="Segoe UI" w:hAnsi="Segoe UI" w:eastAsia="Segoe UI" w:cs="Segoe UI"/>
                <w:i w:val="0"/>
                <w:iCs w:val="0"/>
                <w:caps w:val="0"/>
                <w:snapToGrid w:val="0"/>
                <w:color w:val="000000"/>
                <w:spacing w:val="0"/>
                <w:kern w:val="0"/>
                <w:sz w:val="18"/>
                <w:szCs w:val="18"/>
                <w:lang w:val="en-US" w:eastAsia="zh-CN" w:bidi="ar"/>
              </w:rPr>
              <w:t>2. 准备关键信息的纸质备份预案。</w:t>
            </w:r>
          </w:p>
        </w:tc>
        <w:tc>
          <w:tcPr>
            <w:tcW w:w="1170" w:type="dxa"/>
            <w:shd w:val="clear" w:color="auto" w:fill="auto"/>
            <w:tcMar>
              <w:top w:w="120" w:type="dxa"/>
              <w:left w:w="192" w:type="dxa"/>
              <w:bottom w:w="120" w:type="dxa"/>
              <w:right w:w="192" w:type="dxa"/>
            </w:tcMar>
            <w:vAlign w:val="center"/>
          </w:tcPr>
          <w:p w14:paraId="780743B6">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数智运营部</w:t>
            </w:r>
          </w:p>
        </w:tc>
        <w:tc>
          <w:tcPr>
            <w:tcW w:w="1070" w:type="dxa"/>
            <w:shd w:val="clear" w:color="auto" w:fill="auto"/>
            <w:tcMar>
              <w:top w:w="120" w:type="dxa"/>
              <w:left w:w="192" w:type="dxa"/>
              <w:bottom w:w="120" w:type="dxa"/>
              <w:right w:w="192" w:type="dxa"/>
            </w:tcMar>
            <w:vAlign w:val="center"/>
          </w:tcPr>
          <w:p w14:paraId="38E6E9CB">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2025-11-05</w:t>
            </w:r>
          </w:p>
        </w:tc>
        <w:tc>
          <w:tcPr>
            <w:tcW w:w="2924" w:type="dxa"/>
            <w:shd w:val="clear" w:color="auto" w:fill="auto"/>
            <w:tcMar>
              <w:top w:w="120" w:type="dxa"/>
              <w:left w:w="192" w:type="dxa"/>
              <w:bottom w:w="120" w:type="dxa"/>
              <w:right w:w="192" w:type="dxa"/>
            </w:tcMar>
            <w:vAlign w:val="center"/>
          </w:tcPr>
          <w:p w14:paraId="45253D26">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1. 检查清单制定并投入使用。</w:t>
            </w:r>
            <w:r>
              <w:rPr>
                <w:rFonts w:hint="default" w:ascii="Segoe UI" w:hAnsi="Segoe UI" w:eastAsia="Segoe UI" w:cs="Segoe UI"/>
                <w:i w:val="0"/>
                <w:iCs w:val="0"/>
                <w:caps w:val="0"/>
                <w:snapToGrid w:val="0"/>
                <w:color w:val="000000"/>
                <w:spacing w:val="0"/>
                <w:kern w:val="0"/>
                <w:sz w:val="18"/>
                <w:szCs w:val="18"/>
                <w:lang w:val="en-US" w:eastAsia="zh-CN" w:bidi="ar"/>
              </w:rPr>
              <w:br w:type="textWrapping"/>
            </w:r>
            <w:r>
              <w:rPr>
                <w:rFonts w:hint="default" w:ascii="Segoe UI" w:hAnsi="Segoe UI" w:eastAsia="Segoe UI" w:cs="Segoe UI"/>
                <w:i w:val="0"/>
                <w:iCs w:val="0"/>
                <w:caps w:val="0"/>
                <w:snapToGrid w:val="0"/>
                <w:color w:val="000000"/>
                <w:spacing w:val="0"/>
                <w:kern w:val="0"/>
                <w:sz w:val="18"/>
                <w:szCs w:val="18"/>
                <w:lang w:val="en-US" w:eastAsia="zh-CN" w:bidi="ar"/>
              </w:rPr>
              <w:t>2. 纸质备份方案在下次演练中验证。</w:t>
            </w:r>
          </w:p>
        </w:tc>
        <w:tc>
          <w:tcPr>
            <w:tcW w:w="680" w:type="dxa"/>
            <w:shd w:val="clear" w:color="auto" w:fill="auto"/>
            <w:tcMar>
              <w:top w:w="120" w:type="dxa"/>
              <w:left w:w="192" w:type="dxa"/>
              <w:bottom w:w="120" w:type="dxa"/>
              <w:right w:w="0" w:type="dxa"/>
            </w:tcMar>
            <w:vAlign w:val="center"/>
          </w:tcPr>
          <w:p w14:paraId="6AA3E79B">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待启动</w:t>
            </w:r>
          </w:p>
        </w:tc>
      </w:tr>
      <w:tr w14:paraId="3371A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jc w:val="center"/>
        </w:trPr>
        <w:tc>
          <w:tcPr>
            <w:tcW w:w="511" w:type="dxa"/>
            <w:shd w:val="clear" w:color="auto" w:fill="auto"/>
            <w:tcMar>
              <w:top w:w="120" w:type="dxa"/>
              <w:left w:w="0" w:type="dxa"/>
              <w:bottom w:w="120" w:type="dxa"/>
              <w:right w:w="192" w:type="dxa"/>
            </w:tcMar>
            <w:vAlign w:val="center"/>
          </w:tcPr>
          <w:p w14:paraId="38C6535D">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3</w:t>
            </w:r>
          </w:p>
        </w:tc>
        <w:tc>
          <w:tcPr>
            <w:tcW w:w="3030" w:type="dxa"/>
            <w:shd w:val="clear" w:color="auto" w:fill="auto"/>
            <w:tcMar>
              <w:top w:w="120" w:type="dxa"/>
              <w:left w:w="192" w:type="dxa"/>
              <w:bottom w:w="120" w:type="dxa"/>
              <w:right w:w="192" w:type="dxa"/>
            </w:tcMar>
            <w:vAlign w:val="center"/>
          </w:tcPr>
          <w:p w14:paraId="10F33054">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1. 更新服务台通告模板和SOP，增加“对外发送后，立即在内部指挥群截图确认”的强制步骤。</w:t>
            </w:r>
            <w:r>
              <w:rPr>
                <w:rFonts w:hint="default" w:ascii="Segoe UI" w:hAnsi="Segoe UI" w:eastAsia="Segoe UI" w:cs="Segoe UI"/>
                <w:i w:val="0"/>
                <w:iCs w:val="0"/>
                <w:caps w:val="0"/>
                <w:snapToGrid w:val="0"/>
                <w:color w:val="000000"/>
                <w:spacing w:val="0"/>
                <w:kern w:val="0"/>
                <w:sz w:val="18"/>
                <w:szCs w:val="18"/>
                <w:lang w:val="en-US" w:eastAsia="zh-CN" w:bidi="ar"/>
              </w:rPr>
              <w:br w:type="textWrapping"/>
            </w:r>
            <w:r>
              <w:rPr>
                <w:rFonts w:hint="default" w:ascii="Segoe UI" w:hAnsi="Segoe UI" w:eastAsia="Segoe UI" w:cs="Segoe UI"/>
                <w:i w:val="0"/>
                <w:iCs w:val="0"/>
                <w:caps w:val="0"/>
                <w:snapToGrid w:val="0"/>
                <w:color w:val="000000"/>
                <w:spacing w:val="0"/>
                <w:kern w:val="0"/>
                <w:sz w:val="18"/>
                <w:szCs w:val="18"/>
                <w:lang w:val="en-US" w:eastAsia="zh-CN" w:bidi="ar"/>
              </w:rPr>
              <w:t>2. 组织相关情景的专题培训。</w:t>
            </w:r>
          </w:p>
        </w:tc>
        <w:tc>
          <w:tcPr>
            <w:tcW w:w="1170" w:type="dxa"/>
            <w:shd w:val="clear" w:color="auto" w:fill="auto"/>
            <w:tcMar>
              <w:top w:w="120" w:type="dxa"/>
              <w:left w:w="192" w:type="dxa"/>
              <w:bottom w:w="120" w:type="dxa"/>
              <w:right w:w="192" w:type="dxa"/>
            </w:tcMar>
            <w:vAlign w:val="center"/>
          </w:tcPr>
          <w:p w14:paraId="4FB62EF4">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服务台</w:t>
            </w:r>
          </w:p>
        </w:tc>
        <w:tc>
          <w:tcPr>
            <w:tcW w:w="1070" w:type="dxa"/>
            <w:shd w:val="clear" w:color="auto" w:fill="auto"/>
            <w:tcMar>
              <w:top w:w="120" w:type="dxa"/>
              <w:left w:w="192" w:type="dxa"/>
              <w:bottom w:w="120" w:type="dxa"/>
              <w:right w:w="192" w:type="dxa"/>
            </w:tcMar>
            <w:vAlign w:val="center"/>
          </w:tcPr>
          <w:p w14:paraId="7AA60BA5">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2025-11-15</w:t>
            </w:r>
          </w:p>
        </w:tc>
        <w:tc>
          <w:tcPr>
            <w:tcW w:w="2924" w:type="dxa"/>
            <w:shd w:val="clear" w:color="auto" w:fill="auto"/>
            <w:tcMar>
              <w:top w:w="120" w:type="dxa"/>
              <w:left w:w="192" w:type="dxa"/>
              <w:bottom w:w="120" w:type="dxa"/>
              <w:right w:w="192" w:type="dxa"/>
            </w:tcMar>
            <w:vAlign w:val="center"/>
          </w:tcPr>
          <w:p w14:paraId="5791E660">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1. SOP文件修订发布。</w:t>
            </w:r>
            <w:r>
              <w:rPr>
                <w:rFonts w:hint="default" w:ascii="Segoe UI" w:hAnsi="Segoe UI" w:eastAsia="Segoe UI" w:cs="Segoe UI"/>
                <w:i w:val="0"/>
                <w:iCs w:val="0"/>
                <w:caps w:val="0"/>
                <w:snapToGrid w:val="0"/>
                <w:color w:val="000000"/>
                <w:spacing w:val="0"/>
                <w:kern w:val="0"/>
                <w:sz w:val="18"/>
                <w:szCs w:val="18"/>
                <w:lang w:val="en-US" w:eastAsia="zh-CN" w:bidi="ar"/>
              </w:rPr>
              <w:br w:type="textWrapping"/>
            </w:r>
            <w:r>
              <w:rPr>
                <w:rFonts w:hint="default" w:ascii="Segoe UI" w:hAnsi="Segoe UI" w:eastAsia="Segoe UI" w:cs="Segoe UI"/>
                <w:i w:val="0"/>
                <w:iCs w:val="0"/>
                <w:caps w:val="0"/>
                <w:snapToGrid w:val="0"/>
                <w:color w:val="000000"/>
                <w:spacing w:val="0"/>
                <w:kern w:val="0"/>
                <w:sz w:val="18"/>
                <w:szCs w:val="18"/>
                <w:lang w:val="en-US" w:eastAsia="zh-CN" w:bidi="ar"/>
              </w:rPr>
              <w:t>2. 培训完成且有记录。</w:t>
            </w:r>
          </w:p>
        </w:tc>
        <w:tc>
          <w:tcPr>
            <w:tcW w:w="680" w:type="dxa"/>
            <w:shd w:val="clear" w:color="auto" w:fill="auto"/>
            <w:vAlign w:val="center"/>
          </w:tcPr>
          <w:p w14:paraId="34843A13">
            <w:pPr>
              <w:keepNext w:val="0"/>
              <w:keepLines w:val="0"/>
              <w:pageBreakBefore w:val="0"/>
              <w:widowControl w:val="0"/>
              <w:wordWrap/>
              <w:overflowPunct/>
              <w:topLinePunct w:val="0"/>
              <w:bidi w:val="0"/>
              <w:snapToGrid w:val="0"/>
              <w:ind w:left="0" w:leftChars="0" w:right="0" w:rightChars="0" w:firstLine="0" w:firstLineChars="0"/>
              <w:jc w:val="center"/>
              <w:rPr>
                <w:rFonts w:hint="eastAsia" w:ascii="Segoe UI" w:hAnsi="Segoe UI" w:eastAsia="Segoe UI" w:cs="Segoe UI"/>
                <w:i w:val="0"/>
                <w:iCs w:val="0"/>
                <w:caps w:val="0"/>
                <w:color w:val="0F1115"/>
                <w:spacing w:val="0"/>
                <w:sz w:val="18"/>
                <w:szCs w:val="19"/>
              </w:rPr>
            </w:pPr>
          </w:p>
        </w:tc>
      </w:tr>
    </w:tbl>
    <w:p w14:paraId="684331C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改进跟踪责任方：质量管理部将负责监督以上改进措施的落实，并定期在项目例会中汇报进度。</w:t>
      </w:r>
    </w:p>
    <w:p w14:paraId="60F6DF64">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8" w:name="_Toc5209"/>
      <w:r>
        <w:rPr>
          <w:rFonts w:hint="default"/>
          <w:lang w:val="en-US" w:eastAsia="zh-CN"/>
        </w:rPr>
        <w:t>知识沉淀成果</w:t>
      </w:r>
      <w:bookmarkEnd w:id="8"/>
    </w:p>
    <w:p w14:paraId="20F1C64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本次演练已生成并归档以下知识资产：</w:t>
      </w:r>
    </w:p>
    <w:p w14:paraId="5E016AD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结构化知识条目：主题为“复合型P1事件（财务模块+SAP接口）应急响应流程”，已包含场景、步骤、决策点、沟通模板，提交至项目知识库待审核发布。</w:t>
      </w:r>
    </w:p>
    <w:p w14:paraId="5946778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过程资产：《应急演练预案》、《应急演练记录》及本报告，已归档至项目文档库“应急演练”目录，作为未来演练和培训的参考资料。</w:t>
      </w:r>
    </w:p>
    <w:p w14:paraId="776BFDD1">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9" w:name="_Toc22672"/>
      <w:r>
        <w:rPr>
          <w:rFonts w:hint="default"/>
          <w:lang w:val="en-US" w:eastAsia="zh-CN"/>
        </w:rPr>
        <w:t>结论与建议</w:t>
      </w:r>
      <w:bookmarkEnd w:id="9"/>
    </w:p>
    <w:p w14:paraId="059895B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结论：本次应急演练有效提升了项目团队对重大复合故障的应急响应与协同处置能力，验证了应急预案的可行性，并暴露了在资源保障、设备调试和流程细节方面的提升空间。</w:t>
      </w:r>
    </w:p>
    <w:p w14:paraId="2A5FDA7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建议：</w:t>
      </w:r>
    </w:p>
    <w:p w14:paraId="4D68115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建议将本次演练的成功经验与改进措施，在部门内进行分享，固化优秀实践。</w:t>
      </w:r>
    </w:p>
    <w:p w14:paraId="58AE3D8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建议按计划跟踪并完成所有改进措施，并在下一季度（Q4）的演练中，针对性复验“恢复脚本优化”和“内部沟通同步”两项改进效果。</w:t>
      </w:r>
    </w:p>
    <w:p w14:paraId="2FC4DC5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建议将《应急指挥中心设备检查清单》的适用范围扩大到所有重大变更上线前的准备会。</w:t>
      </w:r>
    </w:p>
    <w:p w14:paraId="58E5E40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9ABE1C">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tab/>
    </w:r>
    <w:r>
      <w:rPr>
        <w:rFonts w:hint="eastAsia" w:eastAsiaTheme="minorEastAsia"/>
        <w:lang w:val="en-US" w:eastAsia="zh-CN"/>
      </w:rPr>
      <w:tab/>
    </w:r>
    <w:r>
      <w:rPr>
        <w:rFonts w:hint="eastAsia" w:eastAsiaTheme="minorEastAsia"/>
        <w:lang w:val="en-US" w:eastAsia="zh-CN"/>
      </w:rPr>
      <w:t>江西通信产业服务有限公司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1EF5961"/>
    <w:rsid w:val="034F4DDA"/>
    <w:rsid w:val="0A762E91"/>
    <w:rsid w:val="0C5B233E"/>
    <w:rsid w:val="0F86487C"/>
    <w:rsid w:val="141352AC"/>
    <w:rsid w:val="14EF207A"/>
    <w:rsid w:val="171B2DF6"/>
    <w:rsid w:val="1BEF1C53"/>
    <w:rsid w:val="1F2269A5"/>
    <w:rsid w:val="1F822B6F"/>
    <w:rsid w:val="21B207FA"/>
    <w:rsid w:val="27A6495D"/>
    <w:rsid w:val="2A41096D"/>
    <w:rsid w:val="2EE7693B"/>
    <w:rsid w:val="2EFE3E42"/>
    <w:rsid w:val="2F106B60"/>
    <w:rsid w:val="2FF63FA8"/>
    <w:rsid w:val="311F5D69"/>
    <w:rsid w:val="35781C6D"/>
    <w:rsid w:val="379523B5"/>
    <w:rsid w:val="3B2714BA"/>
    <w:rsid w:val="3F2301EA"/>
    <w:rsid w:val="40CF7B8F"/>
    <w:rsid w:val="41BF6718"/>
    <w:rsid w:val="425132C0"/>
    <w:rsid w:val="42D257AE"/>
    <w:rsid w:val="432F1853"/>
    <w:rsid w:val="458A2D71"/>
    <w:rsid w:val="466B0DF4"/>
    <w:rsid w:val="46C329DE"/>
    <w:rsid w:val="4E467D98"/>
    <w:rsid w:val="4F8627FB"/>
    <w:rsid w:val="53446E39"/>
    <w:rsid w:val="56313A23"/>
    <w:rsid w:val="57DF0C57"/>
    <w:rsid w:val="585D7471"/>
    <w:rsid w:val="5BC85F49"/>
    <w:rsid w:val="5D902A97"/>
    <w:rsid w:val="65C04540"/>
    <w:rsid w:val="68142C42"/>
    <w:rsid w:val="71E676C1"/>
    <w:rsid w:val="76BC0013"/>
    <w:rsid w:val="7ABD2C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2069</Words>
  <Characters>2244</Characters>
  <Lines>0</Lines>
  <Paragraphs>0</Paragraphs>
  <TotalTime>0</TotalTime>
  <ScaleCrop>false</ScaleCrop>
  <LinksUpToDate>false</LinksUpToDate>
  <CharactersWithSpaces>2356</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2026-01-28T13:49:42Z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2052-12.1.0.24657</vt:lpwstr>
  </property>
  <property fmtid="{D5CDD505-2E9C-101B-9397-08002B2CF9AE}" pid="4" name="KSOTemplateDocerSaveRecord">
    <vt:lpwstr>eyJoZGlkIjoiZWI4NmUzMGY2ODA3MDc4ZTFlMjZjZTAyMjM0NmVmODgiLCJ1c2VySWQiOiIxMDc1MzgyOSJ9</vt:lpwstr>
  </property>
</Properties>
</file>