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4AB8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817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5275AFD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5740"/>
      <w:r>
        <w:rPr>
          <w:rFonts w:hint="eastAsia"/>
          <w:lang w:val="en-US" w:eastAsia="zh-CN"/>
        </w:rPr>
        <w:t>运维服务能力管理计划</w:t>
      </w:r>
      <w:bookmarkEnd w:id="1"/>
      <w:bookmarkEnd w:id="2"/>
    </w:p>
    <w:p w14:paraId="763145B7">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6CA4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12BE4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5A79958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5A67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834B2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C87A2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37BB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9E9D0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163C0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D609A3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C29DD68">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660C9D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2662523">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C15ADA3">
          <w:pPr>
            <w:pStyle w:val="16"/>
            <w:tabs>
              <w:tab w:val="right" w:leader="dot" w:pos="8306"/>
            </w:tabs>
          </w:pPr>
          <w:bookmarkStart w:id="58" w:name="_GoBack"/>
          <w:bookmarkEnd w:id="58"/>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_Toc18178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_Toc18178 \h </w:instrText>
          </w:r>
          <w:r>
            <w:fldChar w:fldCharType="separate"/>
          </w:r>
          <w:r>
            <w:t>1</w:t>
          </w:r>
          <w:r>
            <w:fldChar w:fldCharType="end"/>
          </w:r>
          <w:r>
            <w:rPr>
              <w:rFonts w:hint="eastAsia" w:ascii="宋体" w:hAnsi="宋体" w:eastAsia="宋体" w:cs="宋体"/>
              <w:szCs w:val="24"/>
            </w:rPr>
            <w:fldChar w:fldCharType="end"/>
          </w:r>
        </w:p>
        <w:p w14:paraId="03D0700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_Toc5740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_Toc5740 \h </w:instrText>
          </w:r>
          <w:r>
            <w:fldChar w:fldCharType="separate"/>
          </w:r>
          <w:r>
            <w:t>1</w:t>
          </w:r>
          <w:r>
            <w:fldChar w:fldCharType="end"/>
          </w:r>
          <w:r>
            <w:rPr>
              <w:rFonts w:hint="eastAsia" w:ascii="宋体" w:hAnsi="宋体" w:eastAsia="宋体" w:cs="宋体"/>
              <w:szCs w:val="24"/>
            </w:rPr>
            <w:fldChar w:fldCharType="end"/>
          </w:r>
        </w:p>
        <w:p w14:paraId="0C1FAE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_Toc2108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_Toc2108 \h </w:instrText>
          </w:r>
          <w:r>
            <w:fldChar w:fldCharType="separate"/>
          </w:r>
          <w:r>
            <w:t>5</w:t>
          </w:r>
          <w:r>
            <w:fldChar w:fldCharType="end"/>
          </w:r>
          <w:r>
            <w:rPr>
              <w:rFonts w:hint="eastAsia" w:ascii="宋体" w:hAnsi="宋体" w:eastAsia="宋体" w:cs="宋体"/>
              <w:szCs w:val="24"/>
            </w:rPr>
            <w:fldChar w:fldCharType="end"/>
          </w:r>
        </w:p>
        <w:p w14:paraId="3B00CAB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_Toc400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公司沿革与核心优势</w:t>
          </w:r>
          <w:r>
            <w:tab/>
          </w:r>
          <w:r>
            <w:fldChar w:fldCharType="begin"/>
          </w:r>
          <w:r>
            <w:instrText xml:space="preserve"> PAGEREF _Toc400 \h </w:instrText>
          </w:r>
          <w:r>
            <w:fldChar w:fldCharType="separate"/>
          </w:r>
          <w:r>
            <w:t>5</w:t>
          </w:r>
          <w:r>
            <w:fldChar w:fldCharType="end"/>
          </w:r>
          <w:r>
            <w:rPr>
              <w:rFonts w:hint="eastAsia" w:ascii="宋体" w:hAnsi="宋体" w:eastAsia="宋体" w:cs="宋体"/>
              <w:szCs w:val="24"/>
            </w:rPr>
            <w:fldChar w:fldCharType="end"/>
          </w:r>
        </w:p>
        <w:p w14:paraId="1C7B21C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_Toc7292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引入ITSS的必要性</w:t>
          </w:r>
          <w:r>
            <w:tab/>
          </w:r>
          <w:r>
            <w:fldChar w:fldCharType="begin"/>
          </w:r>
          <w:r>
            <w:instrText xml:space="preserve"> PAGEREF _Toc7292 \h </w:instrText>
          </w:r>
          <w:r>
            <w:fldChar w:fldCharType="separate"/>
          </w:r>
          <w:r>
            <w:t>5</w:t>
          </w:r>
          <w:r>
            <w:fldChar w:fldCharType="end"/>
          </w:r>
          <w:r>
            <w:rPr>
              <w:rFonts w:hint="eastAsia" w:ascii="宋体" w:hAnsi="宋体" w:eastAsia="宋体" w:cs="宋体"/>
              <w:szCs w:val="24"/>
            </w:rPr>
            <w:fldChar w:fldCharType="end"/>
          </w:r>
        </w:p>
        <w:p w14:paraId="4722BBE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_Toc7538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_Toc7538 \h </w:instrText>
          </w:r>
          <w:r>
            <w:fldChar w:fldCharType="separate"/>
          </w:r>
          <w:r>
            <w:t>5</w:t>
          </w:r>
          <w:r>
            <w:fldChar w:fldCharType="end"/>
          </w:r>
          <w:r>
            <w:rPr>
              <w:rFonts w:hint="eastAsia" w:ascii="宋体" w:hAnsi="宋体" w:eastAsia="宋体" w:cs="宋体"/>
              <w:szCs w:val="24"/>
            </w:rPr>
            <w:fldChar w:fldCharType="end"/>
          </w:r>
        </w:p>
        <w:p w14:paraId="710787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_Toc12814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_Toc12814 \h </w:instrText>
          </w:r>
          <w:r>
            <w:fldChar w:fldCharType="separate"/>
          </w:r>
          <w:r>
            <w:t>6</w:t>
          </w:r>
          <w:r>
            <w:fldChar w:fldCharType="end"/>
          </w:r>
          <w:r>
            <w:rPr>
              <w:rFonts w:hint="eastAsia" w:ascii="宋体" w:hAnsi="宋体" w:eastAsia="宋体" w:cs="宋体"/>
              <w:szCs w:val="24"/>
            </w:rPr>
            <w:fldChar w:fldCharType="end"/>
          </w:r>
        </w:p>
        <w:p w14:paraId="7016325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_Toc18353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w:t>
          </w:r>
          <w:r>
            <w:tab/>
          </w:r>
          <w:r>
            <w:fldChar w:fldCharType="begin"/>
          </w:r>
          <w:r>
            <w:instrText xml:space="preserve"> PAGEREF _Toc18353 \h </w:instrText>
          </w:r>
          <w:r>
            <w:fldChar w:fldCharType="separate"/>
          </w:r>
          <w:r>
            <w:t>6</w:t>
          </w:r>
          <w:r>
            <w:fldChar w:fldCharType="end"/>
          </w:r>
          <w:r>
            <w:rPr>
              <w:rFonts w:hint="eastAsia" w:ascii="宋体" w:hAnsi="宋体" w:eastAsia="宋体" w:cs="宋体"/>
              <w:szCs w:val="24"/>
            </w:rPr>
            <w:fldChar w:fldCharType="end"/>
          </w:r>
        </w:p>
        <w:p w14:paraId="18C4A77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_Toc32404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w:t>
          </w:r>
          <w:r>
            <w:tab/>
          </w:r>
          <w:r>
            <w:fldChar w:fldCharType="begin"/>
          </w:r>
          <w:r>
            <w:instrText xml:space="preserve"> PAGEREF _Toc32404 \h </w:instrText>
          </w:r>
          <w:r>
            <w:fldChar w:fldCharType="separate"/>
          </w:r>
          <w:r>
            <w:t>6</w:t>
          </w:r>
          <w:r>
            <w:fldChar w:fldCharType="end"/>
          </w:r>
          <w:r>
            <w:rPr>
              <w:rFonts w:hint="eastAsia" w:ascii="宋体" w:hAnsi="宋体" w:eastAsia="宋体" w:cs="宋体"/>
              <w:szCs w:val="24"/>
            </w:rPr>
            <w:fldChar w:fldCharType="end"/>
          </w:r>
        </w:p>
        <w:p w14:paraId="4EB80C4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_Toc23544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服务知识</w:t>
          </w:r>
          <w:r>
            <w:tab/>
          </w:r>
          <w:r>
            <w:fldChar w:fldCharType="begin"/>
          </w:r>
          <w:r>
            <w:instrText xml:space="preserve"> PAGEREF _Toc23544 \h </w:instrText>
          </w:r>
          <w:r>
            <w:fldChar w:fldCharType="separate"/>
          </w:r>
          <w:r>
            <w:t>6</w:t>
          </w:r>
          <w:r>
            <w:fldChar w:fldCharType="end"/>
          </w:r>
          <w:r>
            <w:rPr>
              <w:rFonts w:hint="eastAsia" w:ascii="宋体" w:hAnsi="宋体" w:eastAsia="宋体" w:cs="宋体"/>
              <w:szCs w:val="24"/>
            </w:rPr>
            <w:fldChar w:fldCharType="end"/>
          </w:r>
        </w:p>
        <w:p w14:paraId="754E7A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_Toc16723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运维服务能力管理计划</w:t>
          </w:r>
          <w:r>
            <w:tab/>
          </w:r>
          <w:r>
            <w:fldChar w:fldCharType="begin"/>
          </w:r>
          <w:r>
            <w:instrText xml:space="preserve"> PAGEREF _Toc16723 \h </w:instrText>
          </w:r>
          <w:r>
            <w:fldChar w:fldCharType="separate"/>
          </w:r>
          <w:r>
            <w:t>7</w:t>
          </w:r>
          <w:r>
            <w:fldChar w:fldCharType="end"/>
          </w:r>
          <w:r>
            <w:rPr>
              <w:rFonts w:hint="eastAsia" w:ascii="宋体" w:hAnsi="宋体" w:eastAsia="宋体" w:cs="宋体"/>
              <w:szCs w:val="24"/>
            </w:rPr>
            <w:fldChar w:fldCharType="end"/>
          </w:r>
        </w:p>
        <w:p w14:paraId="3146936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_Toc19864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人员管理计划</w:t>
          </w:r>
          <w:r>
            <w:tab/>
          </w:r>
          <w:r>
            <w:fldChar w:fldCharType="begin"/>
          </w:r>
          <w:r>
            <w:instrText xml:space="preserve"> PAGEREF _Toc19864 \h </w:instrText>
          </w:r>
          <w:r>
            <w:fldChar w:fldCharType="separate"/>
          </w:r>
          <w:r>
            <w:t>7</w:t>
          </w:r>
          <w:r>
            <w:fldChar w:fldCharType="end"/>
          </w:r>
          <w:r>
            <w:rPr>
              <w:rFonts w:hint="eastAsia" w:ascii="宋体" w:hAnsi="宋体" w:eastAsia="宋体" w:cs="宋体"/>
              <w:szCs w:val="24"/>
            </w:rPr>
            <w:fldChar w:fldCharType="end"/>
          </w:r>
        </w:p>
        <w:p w14:paraId="15F6960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_Toc5366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人员招聘管理计划</w:t>
          </w:r>
          <w:r>
            <w:tab/>
          </w:r>
          <w:r>
            <w:fldChar w:fldCharType="begin"/>
          </w:r>
          <w:r>
            <w:instrText xml:space="preserve"> PAGEREF _Toc5366 \h </w:instrText>
          </w:r>
          <w:r>
            <w:fldChar w:fldCharType="separate"/>
          </w:r>
          <w:r>
            <w:t>7</w:t>
          </w:r>
          <w:r>
            <w:fldChar w:fldCharType="end"/>
          </w:r>
          <w:r>
            <w:rPr>
              <w:rFonts w:hint="eastAsia" w:ascii="宋体" w:hAnsi="宋体" w:eastAsia="宋体" w:cs="宋体"/>
              <w:szCs w:val="24"/>
            </w:rPr>
            <w:fldChar w:fldCharType="end"/>
          </w:r>
        </w:p>
        <w:p w14:paraId="43261B7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_Toc22217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人员储备管理计划</w:t>
          </w:r>
          <w:r>
            <w:tab/>
          </w:r>
          <w:r>
            <w:fldChar w:fldCharType="begin"/>
          </w:r>
          <w:r>
            <w:instrText xml:space="preserve"> PAGEREF _Toc22217 \h </w:instrText>
          </w:r>
          <w:r>
            <w:fldChar w:fldCharType="separate"/>
          </w:r>
          <w:r>
            <w:t>7</w:t>
          </w:r>
          <w:r>
            <w:fldChar w:fldCharType="end"/>
          </w:r>
          <w:r>
            <w:rPr>
              <w:rFonts w:hint="eastAsia" w:ascii="宋体" w:hAnsi="宋体" w:eastAsia="宋体" w:cs="宋体"/>
              <w:szCs w:val="24"/>
            </w:rPr>
            <w:fldChar w:fldCharType="end"/>
          </w:r>
        </w:p>
        <w:p w14:paraId="1F774EE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_Toc29759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人员绩效考核管理计划</w:t>
          </w:r>
          <w:r>
            <w:tab/>
          </w:r>
          <w:r>
            <w:fldChar w:fldCharType="begin"/>
          </w:r>
          <w:r>
            <w:instrText xml:space="preserve"> PAGEREF _Toc29759 \h </w:instrText>
          </w:r>
          <w:r>
            <w:fldChar w:fldCharType="separate"/>
          </w:r>
          <w:r>
            <w:t>8</w:t>
          </w:r>
          <w:r>
            <w:fldChar w:fldCharType="end"/>
          </w:r>
          <w:r>
            <w:rPr>
              <w:rFonts w:hint="eastAsia" w:ascii="宋体" w:hAnsi="宋体" w:eastAsia="宋体" w:cs="宋体"/>
              <w:szCs w:val="24"/>
            </w:rPr>
            <w:fldChar w:fldCharType="end"/>
          </w:r>
        </w:p>
        <w:p w14:paraId="2F487EE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_Toc13055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人员技能评定管理计划</w:t>
          </w:r>
          <w:r>
            <w:tab/>
          </w:r>
          <w:r>
            <w:fldChar w:fldCharType="begin"/>
          </w:r>
          <w:r>
            <w:instrText xml:space="preserve"> PAGEREF _Toc13055 \h </w:instrText>
          </w:r>
          <w:r>
            <w:fldChar w:fldCharType="separate"/>
          </w:r>
          <w:r>
            <w:t>8</w:t>
          </w:r>
          <w:r>
            <w:fldChar w:fldCharType="end"/>
          </w:r>
          <w:r>
            <w:rPr>
              <w:rFonts w:hint="eastAsia" w:ascii="宋体" w:hAnsi="宋体" w:eastAsia="宋体" w:cs="宋体"/>
              <w:szCs w:val="24"/>
            </w:rPr>
            <w:fldChar w:fldCharType="end"/>
          </w:r>
        </w:p>
        <w:p w14:paraId="3CA817E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_Toc12679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人员培训管理计划</w:t>
          </w:r>
          <w:r>
            <w:tab/>
          </w:r>
          <w:r>
            <w:fldChar w:fldCharType="begin"/>
          </w:r>
          <w:r>
            <w:instrText xml:space="preserve"> PAGEREF _Toc12679 \h </w:instrText>
          </w:r>
          <w:r>
            <w:fldChar w:fldCharType="separate"/>
          </w:r>
          <w:r>
            <w:t>8</w:t>
          </w:r>
          <w:r>
            <w:fldChar w:fldCharType="end"/>
          </w:r>
          <w:r>
            <w:rPr>
              <w:rFonts w:hint="eastAsia" w:ascii="宋体" w:hAnsi="宋体" w:eastAsia="宋体" w:cs="宋体"/>
              <w:szCs w:val="24"/>
            </w:rPr>
            <w:fldChar w:fldCharType="end"/>
          </w:r>
        </w:p>
        <w:p w14:paraId="0219005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_Toc17669 </w:instrText>
          </w:r>
          <w:r>
            <w:rPr>
              <w:rFonts w:hint="eastAsia" w:ascii="宋体" w:hAnsi="宋体" w:eastAsia="宋体" w:cs="宋体"/>
              <w:szCs w:val="24"/>
            </w:rPr>
            <w:fldChar w:fldCharType="separate"/>
          </w:r>
          <w:r>
            <w:rPr>
              <w:rFonts w:hint="default"/>
              <w:lang w:val="en-US" w:eastAsia="zh-CN"/>
            </w:rPr>
            <w:t xml:space="preserve">2.1.6. </w:t>
          </w:r>
          <w:r>
            <w:rPr>
              <w:rFonts w:hint="eastAsia"/>
              <w:lang w:val="en-US" w:eastAsia="zh-CN"/>
            </w:rPr>
            <w:t>人员备份管理计划</w:t>
          </w:r>
          <w:r>
            <w:tab/>
          </w:r>
          <w:r>
            <w:fldChar w:fldCharType="begin"/>
          </w:r>
          <w:r>
            <w:instrText xml:space="preserve"> PAGEREF _Toc17669 \h </w:instrText>
          </w:r>
          <w:r>
            <w:fldChar w:fldCharType="separate"/>
          </w:r>
          <w:r>
            <w:t>9</w:t>
          </w:r>
          <w:r>
            <w:fldChar w:fldCharType="end"/>
          </w:r>
          <w:r>
            <w:rPr>
              <w:rFonts w:hint="eastAsia" w:ascii="宋体" w:hAnsi="宋体" w:eastAsia="宋体" w:cs="宋体"/>
              <w:szCs w:val="24"/>
            </w:rPr>
            <w:fldChar w:fldCharType="end"/>
          </w:r>
        </w:p>
        <w:p w14:paraId="170DDF4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_Toc24317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资源管理计划</w:t>
          </w:r>
          <w:r>
            <w:tab/>
          </w:r>
          <w:r>
            <w:fldChar w:fldCharType="begin"/>
          </w:r>
          <w:r>
            <w:instrText xml:space="preserve"> PAGEREF _Toc24317 \h </w:instrText>
          </w:r>
          <w:r>
            <w:fldChar w:fldCharType="separate"/>
          </w:r>
          <w:r>
            <w:t>10</w:t>
          </w:r>
          <w:r>
            <w:fldChar w:fldCharType="end"/>
          </w:r>
          <w:r>
            <w:rPr>
              <w:rFonts w:hint="eastAsia" w:ascii="宋体" w:hAnsi="宋体" w:eastAsia="宋体" w:cs="宋体"/>
              <w:szCs w:val="24"/>
            </w:rPr>
            <w:fldChar w:fldCharType="end"/>
          </w:r>
        </w:p>
        <w:p w14:paraId="6C2FCED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_Toc20144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运维工具管理计划</w:t>
          </w:r>
          <w:r>
            <w:tab/>
          </w:r>
          <w:r>
            <w:fldChar w:fldCharType="begin"/>
          </w:r>
          <w:r>
            <w:instrText xml:space="preserve"> PAGEREF _Toc20144 \h </w:instrText>
          </w:r>
          <w:r>
            <w:fldChar w:fldCharType="separate"/>
          </w:r>
          <w:r>
            <w:t>10</w:t>
          </w:r>
          <w:r>
            <w:fldChar w:fldCharType="end"/>
          </w:r>
          <w:r>
            <w:rPr>
              <w:rFonts w:hint="eastAsia" w:ascii="宋体" w:hAnsi="宋体" w:eastAsia="宋体" w:cs="宋体"/>
              <w:szCs w:val="24"/>
            </w:rPr>
            <w:fldChar w:fldCharType="end"/>
          </w:r>
        </w:p>
        <w:p w14:paraId="1CE2E00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_Toc22008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服务台管理计划</w:t>
          </w:r>
          <w:r>
            <w:tab/>
          </w:r>
          <w:r>
            <w:fldChar w:fldCharType="begin"/>
          </w:r>
          <w:r>
            <w:instrText xml:space="preserve"> PAGEREF _Toc22008 \h </w:instrText>
          </w:r>
          <w:r>
            <w:fldChar w:fldCharType="separate"/>
          </w:r>
          <w:r>
            <w:t>10</w:t>
          </w:r>
          <w:r>
            <w:fldChar w:fldCharType="end"/>
          </w:r>
          <w:r>
            <w:rPr>
              <w:rFonts w:hint="eastAsia" w:ascii="宋体" w:hAnsi="宋体" w:eastAsia="宋体" w:cs="宋体"/>
              <w:szCs w:val="24"/>
            </w:rPr>
            <w:fldChar w:fldCharType="end"/>
          </w:r>
        </w:p>
        <w:p w14:paraId="0627E34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_Toc20329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服务知识管理计划</w:t>
          </w:r>
          <w:r>
            <w:tab/>
          </w:r>
          <w:r>
            <w:fldChar w:fldCharType="begin"/>
          </w:r>
          <w:r>
            <w:instrText xml:space="preserve"> PAGEREF _Toc20329 \h </w:instrText>
          </w:r>
          <w:r>
            <w:fldChar w:fldCharType="separate"/>
          </w:r>
          <w:r>
            <w:t>10</w:t>
          </w:r>
          <w:r>
            <w:fldChar w:fldCharType="end"/>
          </w:r>
          <w:r>
            <w:rPr>
              <w:rFonts w:hint="eastAsia" w:ascii="宋体" w:hAnsi="宋体" w:eastAsia="宋体" w:cs="宋体"/>
              <w:szCs w:val="24"/>
            </w:rPr>
            <w:fldChar w:fldCharType="end"/>
          </w:r>
        </w:p>
        <w:p w14:paraId="7D1E668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_Toc15848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最终软件库管理计划</w:t>
          </w:r>
          <w:r>
            <w:tab/>
          </w:r>
          <w:r>
            <w:fldChar w:fldCharType="begin"/>
          </w:r>
          <w:r>
            <w:instrText xml:space="preserve"> PAGEREF _Toc15848 \h </w:instrText>
          </w:r>
          <w:r>
            <w:fldChar w:fldCharType="separate"/>
          </w:r>
          <w:r>
            <w:t>11</w:t>
          </w:r>
          <w:r>
            <w:fldChar w:fldCharType="end"/>
          </w:r>
          <w:r>
            <w:rPr>
              <w:rFonts w:hint="eastAsia" w:ascii="宋体" w:hAnsi="宋体" w:eastAsia="宋体" w:cs="宋体"/>
              <w:szCs w:val="24"/>
            </w:rPr>
            <w:fldChar w:fldCharType="end"/>
          </w:r>
        </w:p>
        <w:p w14:paraId="2F27217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_Toc2025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服务数据管理计划</w:t>
          </w:r>
          <w:r>
            <w:tab/>
          </w:r>
          <w:r>
            <w:fldChar w:fldCharType="begin"/>
          </w:r>
          <w:r>
            <w:instrText xml:space="preserve"> PAGEREF _Toc2025 \h </w:instrText>
          </w:r>
          <w:r>
            <w:fldChar w:fldCharType="separate"/>
          </w:r>
          <w:r>
            <w:t>11</w:t>
          </w:r>
          <w:r>
            <w:fldChar w:fldCharType="end"/>
          </w:r>
          <w:r>
            <w:rPr>
              <w:rFonts w:hint="eastAsia" w:ascii="宋体" w:hAnsi="宋体" w:eastAsia="宋体" w:cs="宋体"/>
              <w:szCs w:val="24"/>
            </w:rPr>
            <w:fldChar w:fldCharType="end"/>
          </w:r>
        </w:p>
        <w:p w14:paraId="5FB82D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_Toc14236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技术管理计划</w:t>
          </w:r>
          <w:r>
            <w:tab/>
          </w:r>
          <w:r>
            <w:fldChar w:fldCharType="begin"/>
          </w:r>
          <w:r>
            <w:instrText xml:space="preserve"> PAGEREF _Toc14236 \h </w:instrText>
          </w:r>
          <w:r>
            <w:fldChar w:fldCharType="separate"/>
          </w:r>
          <w:r>
            <w:t>11</w:t>
          </w:r>
          <w:r>
            <w:fldChar w:fldCharType="end"/>
          </w:r>
          <w:r>
            <w:rPr>
              <w:rFonts w:hint="eastAsia" w:ascii="宋体" w:hAnsi="宋体" w:eastAsia="宋体" w:cs="宋体"/>
              <w:szCs w:val="24"/>
            </w:rPr>
            <w:fldChar w:fldCharType="end"/>
          </w:r>
        </w:p>
        <w:p w14:paraId="4956076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_Toc21712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运维工具二次开发</w:t>
          </w:r>
          <w:r>
            <w:tab/>
          </w:r>
          <w:r>
            <w:fldChar w:fldCharType="begin"/>
          </w:r>
          <w:r>
            <w:instrText xml:space="preserve"> PAGEREF _Toc21712 \h </w:instrText>
          </w:r>
          <w:r>
            <w:fldChar w:fldCharType="separate"/>
          </w:r>
          <w:r>
            <w:t>12</w:t>
          </w:r>
          <w:r>
            <w:fldChar w:fldCharType="end"/>
          </w:r>
          <w:r>
            <w:rPr>
              <w:rFonts w:hint="eastAsia" w:ascii="宋体" w:hAnsi="宋体" w:eastAsia="宋体" w:cs="宋体"/>
              <w:szCs w:val="24"/>
            </w:rPr>
            <w:fldChar w:fldCharType="end"/>
          </w:r>
        </w:p>
        <w:p w14:paraId="7E21230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_Toc14333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运维手册研发</w:t>
          </w:r>
          <w:r>
            <w:tab/>
          </w:r>
          <w:r>
            <w:fldChar w:fldCharType="begin"/>
          </w:r>
          <w:r>
            <w:instrText xml:space="preserve"> PAGEREF _Toc14333 \h </w:instrText>
          </w:r>
          <w:r>
            <w:fldChar w:fldCharType="separate"/>
          </w:r>
          <w:r>
            <w:t>12</w:t>
          </w:r>
          <w:r>
            <w:fldChar w:fldCharType="end"/>
          </w:r>
          <w:r>
            <w:rPr>
              <w:rFonts w:hint="eastAsia" w:ascii="宋体" w:hAnsi="宋体" w:eastAsia="宋体" w:cs="宋体"/>
              <w:szCs w:val="24"/>
            </w:rPr>
            <w:fldChar w:fldCharType="end"/>
          </w:r>
        </w:p>
        <w:p w14:paraId="15399DE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_Toc24324 </w:instrText>
          </w:r>
          <w:r>
            <w:rPr>
              <w:rFonts w:hint="eastAsia" w:ascii="宋体" w:hAnsi="宋体" w:eastAsia="宋体" w:cs="宋体"/>
              <w:szCs w:val="24"/>
            </w:rPr>
            <w:fldChar w:fldCharType="separate"/>
          </w:r>
          <w:r>
            <w:rPr>
              <w:rFonts w:hint="default"/>
              <w:lang w:val="en-US" w:eastAsia="zh-CN"/>
            </w:rPr>
            <w:t xml:space="preserve">2.3.3. </w:t>
          </w:r>
          <w:r>
            <w:rPr>
              <w:rFonts w:hint="eastAsia"/>
              <w:lang w:val="en-US" w:eastAsia="zh-CN"/>
            </w:rPr>
            <w:t>研发团队构成</w:t>
          </w:r>
          <w:r>
            <w:tab/>
          </w:r>
          <w:r>
            <w:fldChar w:fldCharType="begin"/>
          </w:r>
          <w:r>
            <w:instrText xml:space="preserve"> PAGEREF _Toc24324 \h </w:instrText>
          </w:r>
          <w:r>
            <w:fldChar w:fldCharType="separate"/>
          </w:r>
          <w:r>
            <w:t>12</w:t>
          </w:r>
          <w:r>
            <w:fldChar w:fldCharType="end"/>
          </w:r>
          <w:r>
            <w:rPr>
              <w:rFonts w:hint="eastAsia" w:ascii="宋体" w:hAnsi="宋体" w:eastAsia="宋体" w:cs="宋体"/>
              <w:szCs w:val="24"/>
            </w:rPr>
            <w:fldChar w:fldCharType="end"/>
          </w:r>
        </w:p>
        <w:p w14:paraId="0090FED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_Toc13686 </w:instrText>
          </w:r>
          <w:r>
            <w:rPr>
              <w:rFonts w:hint="eastAsia" w:ascii="宋体" w:hAnsi="宋体" w:eastAsia="宋体" w:cs="宋体"/>
              <w:szCs w:val="24"/>
            </w:rPr>
            <w:fldChar w:fldCharType="separate"/>
          </w:r>
          <w:r>
            <w:rPr>
              <w:rFonts w:hint="default"/>
              <w:lang w:val="en-US" w:eastAsia="zh-CN"/>
            </w:rPr>
            <w:t xml:space="preserve">2.3.4. </w:t>
          </w:r>
          <w:r>
            <w:rPr>
              <w:rFonts w:hint="eastAsia"/>
              <w:lang w:val="en-US" w:eastAsia="zh-CN"/>
            </w:rPr>
            <w:t>新技术研发</w:t>
          </w:r>
          <w:r>
            <w:tab/>
          </w:r>
          <w:r>
            <w:fldChar w:fldCharType="begin"/>
          </w:r>
          <w:r>
            <w:instrText xml:space="preserve"> PAGEREF _Toc13686 \h </w:instrText>
          </w:r>
          <w:r>
            <w:fldChar w:fldCharType="separate"/>
          </w:r>
          <w:r>
            <w:t>13</w:t>
          </w:r>
          <w:r>
            <w:fldChar w:fldCharType="end"/>
          </w:r>
          <w:r>
            <w:rPr>
              <w:rFonts w:hint="eastAsia" w:ascii="宋体" w:hAnsi="宋体" w:eastAsia="宋体" w:cs="宋体"/>
              <w:szCs w:val="24"/>
            </w:rPr>
            <w:fldChar w:fldCharType="end"/>
          </w:r>
        </w:p>
        <w:p w14:paraId="2689586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_Toc22522 </w:instrText>
          </w:r>
          <w:r>
            <w:rPr>
              <w:rFonts w:hint="eastAsia" w:ascii="宋体" w:hAnsi="宋体" w:eastAsia="宋体" w:cs="宋体"/>
              <w:szCs w:val="24"/>
            </w:rPr>
            <w:fldChar w:fldCharType="separate"/>
          </w:r>
          <w:r>
            <w:rPr>
              <w:rFonts w:hint="default"/>
              <w:lang w:val="en-US" w:eastAsia="zh-CN"/>
            </w:rPr>
            <w:t xml:space="preserve">2.3.5. </w:t>
          </w:r>
          <w:r>
            <w:rPr>
              <w:rFonts w:hint="eastAsia"/>
              <w:lang w:val="en-US" w:eastAsia="zh-CN"/>
            </w:rPr>
            <w:t>运维经费投入</w:t>
          </w:r>
          <w:r>
            <w:tab/>
          </w:r>
          <w:r>
            <w:fldChar w:fldCharType="begin"/>
          </w:r>
          <w:r>
            <w:instrText xml:space="preserve"> PAGEREF _Toc22522 \h </w:instrText>
          </w:r>
          <w:r>
            <w:fldChar w:fldCharType="separate"/>
          </w:r>
          <w:r>
            <w:t>13</w:t>
          </w:r>
          <w:r>
            <w:fldChar w:fldCharType="end"/>
          </w:r>
          <w:r>
            <w:rPr>
              <w:rFonts w:hint="eastAsia" w:ascii="宋体" w:hAnsi="宋体" w:eastAsia="宋体" w:cs="宋体"/>
              <w:szCs w:val="24"/>
            </w:rPr>
            <w:fldChar w:fldCharType="end"/>
          </w:r>
        </w:p>
        <w:p w14:paraId="032C2A7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_Toc9616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过程管理计划</w:t>
          </w:r>
          <w:r>
            <w:tab/>
          </w:r>
          <w:r>
            <w:fldChar w:fldCharType="begin"/>
          </w:r>
          <w:r>
            <w:instrText xml:space="preserve"> PAGEREF _Toc9616 \h </w:instrText>
          </w:r>
          <w:r>
            <w:fldChar w:fldCharType="separate"/>
          </w:r>
          <w:r>
            <w:t>13</w:t>
          </w:r>
          <w:r>
            <w:fldChar w:fldCharType="end"/>
          </w:r>
          <w:r>
            <w:rPr>
              <w:rFonts w:hint="eastAsia" w:ascii="宋体" w:hAnsi="宋体" w:eastAsia="宋体" w:cs="宋体"/>
              <w:szCs w:val="24"/>
            </w:rPr>
            <w:fldChar w:fldCharType="end"/>
          </w:r>
        </w:p>
        <w:p w14:paraId="0883AD4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_Toc26967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过程框架管理计划</w:t>
          </w:r>
          <w:r>
            <w:tab/>
          </w:r>
          <w:r>
            <w:fldChar w:fldCharType="begin"/>
          </w:r>
          <w:r>
            <w:instrText xml:space="preserve"> PAGEREF _Toc26967 \h </w:instrText>
          </w:r>
          <w:r>
            <w:fldChar w:fldCharType="separate"/>
          </w:r>
          <w:r>
            <w:t>13</w:t>
          </w:r>
          <w:r>
            <w:fldChar w:fldCharType="end"/>
          </w:r>
          <w:r>
            <w:rPr>
              <w:rFonts w:hint="eastAsia" w:ascii="宋体" w:hAnsi="宋体" w:eastAsia="宋体" w:cs="宋体"/>
              <w:szCs w:val="24"/>
            </w:rPr>
            <w:fldChar w:fldCharType="end"/>
          </w:r>
        </w:p>
        <w:p w14:paraId="6511993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_Toc29847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服务级别管理计划</w:t>
          </w:r>
          <w:r>
            <w:tab/>
          </w:r>
          <w:r>
            <w:fldChar w:fldCharType="begin"/>
          </w:r>
          <w:r>
            <w:instrText xml:space="preserve"> PAGEREF _Toc29847 \h </w:instrText>
          </w:r>
          <w:r>
            <w:fldChar w:fldCharType="separate"/>
          </w:r>
          <w:r>
            <w:t>14</w:t>
          </w:r>
          <w:r>
            <w:fldChar w:fldCharType="end"/>
          </w:r>
          <w:r>
            <w:rPr>
              <w:rFonts w:hint="eastAsia" w:ascii="宋体" w:hAnsi="宋体" w:eastAsia="宋体" w:cs="宋体"/>
              <w:szCs w:val="24"/>
            </w:rPr>
            <w:fldChar w:fldCharType="end"/>
          </w:r>
        </w:p>
        <w:p w14:paraId="156D882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_Toc31373 </w:instrText>
          </w:r>
          <w:r>
            <w:rPr>
              <w:rFonts w:hint="eastAsia" w:ascii="宋体" w:hAnsi="宋体" w:eastAsia="宋体" w:cs="宋体"/>
              <w:szCs w:val="24"/>
            </w:rPr>
            <w:fldChar w:fldCharType="separate"/>
          </w:r>
          <w:r>
            <w:rPr>
              <w:rFonts w:hint="default"/>
              <w:lang w:val="en-US" w:eastAsia="zh-CN"/>
            </w:rPr>
            <w:t xml:space="preserve">2.4.3. </w:t>
          </w:r>
          <w:r>
            <w:rPr>
              <w:rFonts w:hint="eastAsia"/>
              <w:lang w:val="en-US" w:eastAsia="zh-CN"/>
            </w:rPr>
            <w:t>服务报告管理计划</w:t>
          </w:r>
          <w:r>
            <w:tab/>
          </w:r>
          <w:r>
            <w:fldChar w:fldCharType="begin"/>
          </w:r>
          <w:r>
            <w:instrText xml:space="preserve"> PAGEREF _Toc31373 \h </w:instrText>
          </w:r>
          <w:r>
            <w:fldChar w:fldCharType="separate"/>
          </w:r>
          <w:r>
            <w:t>14</w:t>
          </w:r>
          <w:r>
            <w:fldChar w:fldCharType="end"/>
          </w:r>
          <w:r>
            <w:rPr>
              <w:rFonts w:hint="eastAsia" w:ascii="宋体" w:hAnsi="宋体" w:eastAsia="宋体" w:cs="宋体"/>
              <w:szCs w:val="24"/>
            </w:rPr>
            <w:fldChar w:fldCharType="end"/>
          </w:r>
        </w:p>
        <w:p w14:paraId="7957D45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_Toc12095 </w:instrText>
          </w:r>
          <w:r>
            <w:rPr>
              <w:rFonts w:hint="eastAsia" w:ascii="宋体" w:hAnsi="宋体" w:eastAsia="宋体" w:cs="宋体"/>
              <w:szCs w:val="24"/>
            </w:rPr>
            <w:fldChar w:fldCharType="separate"/>
          </w:r>
          <w:r>
            <w:rPr>
              <w:rFonts w:hint="default"/>
              <w:lang w:val="en-US" w:eastAsia="zh-CN"/>
            </w:rPr>
            <w:t xml:space="preserve">2.4.4. </w:t>
          </w:r>
          <w:r>
            <w:rPr>
              <w:rFonts w:hint="eastAsia"/>
              <w:lang w:val="en-US" w:eastAsia="zh-CN"/>
            </w:rPr>
            <w:t>事件管理计划</w:t>
          </w:r>
          <w:r>
            <w:tab/>
          </w:r>
          <w:r>
            <w:fldChar w:fldCharType="begin"/>
          </w:r>
          <w:r>
            <w:instrText xml:space="preserve"> PAGEREF _Toc12095 \h </w:instrText>
          </w:r>
          <w:r>
            <w:fldChar w:fldCharType="separate"/>
          </w:r>
          <w:r>
            <w:t>14</w:t>
          </w:r>
          <w:r>
            <w:fldChar w:fldCharType="end"/>
          </w:r>
          <w:r>
            <w:rPr>
              <w:rFonts w:hint="eastAsia" w:ascii="宋体" w:hAnsi="宋体" w:eastAsia="宋体" w:cs="宋体"/>
              <w:szCs w:val="24"/>
            </w:rPr>
            <w:fldChar w:fldCharType="end"/>
          </w:r>
        </w:p>
        <w:p w14:paraId="0ECD004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_Toc17498 </w:instrText>
          </w:r>
          <w:r>
            <w:rPr>
              <w:rFonts w:hint="eastAsia" w:ascii="宋体" w:hAnsi="宋体" w:eastAsia="宋体" w:cs="宋体"/>
              <w:szCs w:val="24"/>
            </w:rPr>
            <w:fldChar w:fldCharType="separate"/>
          </w:r>
          <w:r>
            <w:rPr>
              <w:rFonts w:hint="default"/>
              <w:lang w:val="en-US" w:eastAsia="zh-CN"/>
            </w:rPr>
            <w:t xml:space="preserve">2.4.5. </w:t>
          </w:r>
          <w:r>
            <w:rPr>
              <w:rFonts w:hint="eastAsia"/>
              <w:lang w:val="en-US" w:eastAsia="zh-CN"/>
            </w:rPr>
            <w:t>问题管理计划</w:t>
          </w:r>
          <w:r>
            <w:tab/>
          </w:r>
          <w:r>
            <w:fldChar w:fldCharType="begin"/>
          </w:r>
          <w:r>
            <w:instrText xml:space="preserve"> PAGEREF _Toc17498 \h </w:instrText>
          </w:r>
          <w:r>
            <w:fldChar w:fldCharType="separate"/>
          </w:r>
          <w:r>
            <w:t>14</w:t>
          </w:r>
          <w:r>
            <w:fldChar w:fldCharType="end"/>
          </w:r>
          <w:r>
            <w:rPr>
              <w:rFonts w:hint="eastAsia" w:ascii="宋体" w:hAnsi="宋体" w:eastAsia="宋体" w:cs="宋体"/>
              <w:szCs w:val="24"/>
            </w:rPr>
            <w:fldChar w:fldCharType="end"/>
          </w:r>
        </w:p>
        <w:p w14:paraId="1E8001A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_Toc5799 </w:instrText>
          </w:r>
          <w:r>
            <w:rPr>
              <w:rFonts w:hint="eastAsia" w:ascii="宋体" w:hAnsi="宋体" w:eastAsia="宋体" w:cs="宋体"/>
              <w:szCs w:val="24"/>
            </w:rPr>
            <w:fldChar w:fldCharType="separate"/>
          </w:r>
          <w:r>
            <w:rPr>
              <w:rFonts w:hint="default"/>
              <w:lang w:val="en-US" w:eastAsia="zh-CN"/>
            </w:rPr>
            <w:t xml:space="preserve">2.4.6. </w:t>
          </w:r>
          <w:r>
            <w:rPr>
              <w:rFonts w:hint="eastAsia"/>
              <w:lang w:val="en-US" w:eastAsia="zh-CN"/>
            </w:rPr>
            <w:t>变更管理计划</w:t>
          </w:r>
          <w:r>
            <w:tab/>
          </w:r>
          <w:r>
            <w:fldChar w:fldCharType="begin"/>
          </w:r>
          <w:r>
            <w:instrText xml:space="preserve"> PAGEREF _Toc5799 \h </w:instrText>
          </w:r>
          <w:r>
            <w:fldChar w:fldCharType="separate"/>
          </w:r>
          <w:r>
            <w:t>15</w:t>
          </w:r>
          <w:r>
            <w:fldChar w:fldCharType="end"/>
          </w:r>
          <w:r>
            <w:rPr>
              <w:rFonts w:hint="eastAsia" w:ascii="宋体" w:hAnsi="宋体" w:eastAsia="宋体" w:cs="宋体"/>
              <w:szCs w:val="24"/>
            </w:rPr>
            <w:fldChar w:fldCharType="end"/>
          </w:r>
        </w:p>
        <w:p w14:paraId="1D6C405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_Toc10585 </w:instrText>
          </w:r>
          <w:r>
            <w:rPr>
              <w:rFonts w:hint="eastAsia" w:ascii="宋体" w:hAnsi="宋体" w:eastAsia="宋体" w:cs="宋体"/>
              <w:szCs w:val="24"/>
            </w:rPr>
            <w:fldChar w:fldCharType="separate"/>
          </w:r>
          <w:r>
            <w:rPr>
              <w:rFonts w:hint="default"/>
              <w:lang w:val="en-US" w:eastAsia="zh-CN"/>
            </w:rPr>
            <w:t xml:space="preserve">2.4.7. </w:t>
          </w:r>
          <w:r>
            <w:rPr>
              <w:rFonts w:hint="eastAsia"/>
              <w:lang w:val="en-US" w:eastAsia="zh-CN"/>
            </w:rPr>
            <w:t>发布管理计划</w:t>
          </w:r>
          <w:r>
            <w:tab/>
          </w:r>
          <w:r>
            <w:fldChar w:fldCharType="begin"/>
          </w:r>
          <w:r>
            <w:instrText xml:space="preserve"> PAGEREF _Toc10585 \h </w:instrText>
          </w:r>
          <w:r>
            <w:fldChar w:fldCharType="separate"/>
          </w:r>
          <w:r>
            <w:t>15</w:t>
          </w:r>
          <w:r>
            <w:fldChar w:fldCharType="end"/>
          </w:r>
          <w:r>
            <w:rPr>
              <w:rFonts w:hint="eastAsia" w:ascii="宋体" w:hAnsi="宋体" w:eastAsia="宋体" w:cs="宋体"/>
              <w:szCs w:val="24"/>
            </w:rPr>
            <w:fldChar w:fldCharType="end"/>
          </w:r>
        </w:p>
        <w:p w14:paraId="48A0089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_Toc22821 </w:instrText>
          </w:r>
          <w:r>
            <w:rPr>
              <w:rFonts w:hint="eastAsia" w:ascii="宋体" w:hAnsi="宋体" w:eastAsia="宋体" w:cs="宋体"/>
              <w:szCs w:val="24"/>
            </w:rPr>
            <w:fldChar w:fldCharType="separate"/>
          </w:r>
          <w:r>
            <w:rPr>
              <w:rFonts w:hint="default"/>
              <w:lang w:val="en-US" w:eastAsia="zh-CN"/>
            </w:rPr>
            <w:t xml:space="preserve">2.4.8. </w:t>
          </w:r>
          <w:r>
            <w:rPr>
              <w:rFonts w:hint="eastAsia"/>
              <w:lang w:val="en-US" w:eastAsia="zh-CN"/>
            </w:rPr>
            <w:t>配置管理计划</w:t>
          </w:r>
          <w:r>
            <w:tab/>
          </w:r>
          <w:r>
            <w:fldChar w:fldCharType="begin"/>
          </w:r>
          <w:r>
            <w:instrText xml:space="preserve"> PAGEREF _Toc22821 \h </w:instrText>
          </w:r>
          <w:r>
            <w:fldChar w:fldCharType="separate"/>
          </w:r>
          <w:r>
            <w:t>15</w:t>
          </w:r>
          <w:r>
            <w:fldChar w:fldCharType="end"/>
          </w:r>
          <w:r>
            <w:rPr>
              <w:rFonts w:hint="eastAsia" w:ascii="宋体" w:hAnsi="宋体" w:eastAsia="宋体" w:cs="宋体"/>
              <w:szCs w:val="24"/>
            </w:rPr>
            <w:fldChar w:fldCharType="end"/>
          </w:r>
        </w:p>
        <w:p w14:paraId="3657834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_Toc17415 </w:instrText>
          </w:r>
          <w:r>
            <w:rPr>
              <w:rFonts w:hint="eastAsia" w:ascii="宋体" w:hAnsi="宋体" w:eastAsia="宋体" w:cs="宋体"/>
              <w:szCs w:val="24"/>
            </w:rPr>
            <w:fldChar w:fldCharType="separate"/>
          </w:r>
          <w:r>
            <w:rPr>
              <w:rFonts w:hint="default"/>
              <w:lang w:val="en-US" w:eastAsia="zh-CN"/>
            </w:rPr>
            <w:t xml:space="preserve">2.4.9. </w:t>
          </w:r>
          <w:r>
            <w:rPr>
              <w:rFonts w:hint="eastAsia"/>
              <w:lang w:val="en-US" w:eastAsia="zh-CN"/>
            </w:rPr>
            <w:t>服务可用性和连续性管理计划</w:t>
          </w:r>
          <w:r>
            <w:tab/>
          </w:r>
          <w:r>
            <w:fldChar w:fldCharType="begin"/>
          </w:r>
          <w:r>
            <w:instrText xml:space="preserve"> PAGEREF _Toc17415 \h </w:instrText>
          </w:r>
          <w:r>
            <w:fldChar w:fldCharType="separate"/>
          </w:r>
          <w:r>
            <w:t>15</w:t>
          </w:r>
          <w:r>
            <w:fldChar w:fldCharType="end"/>
          </w:r>
          <w:r>
            <w:rPr>
              <w:rFonts w:hint="eastAsia" w:ascii="宋体" w:hAnsi="宋体" w:eastAsia="宋体" w:cs="宋体"/>
              <w:szCs w:val="24"/>
            </w:rPr>
            <w:fldChar w:fldCharType="end"/>
          </w:r>
        </w:p>
        <w:p w14:paraId="64DDE47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_Toc16065 </w:instrText>
          </w:r>
          <w:r>
            <w:rPr>
              <w:rFonts w:hint="eastAsia" w:ascii="宋体" w:hAnsi="宋体" w:eastAsia="宋体" w:cs="宋体"/>
              <w:szCs w:val="24"/>
            </w:rPr>
            <w:fldChar w:fldCharType="separate"/>
          </w:r>
          <w:r>
            <w:rPr>
              <w:rFonts w:hint="default"/>
              <w:lang w:val="en-US" w:eastAsia="zh-CN"/>
            </w:rPr>
            <w:t xml:space="preserve">2.4.10. </w:t>
          </w:r>
          <w:r>
            <w:rPr>
              <w:rFonts w:hint="eastAsia"/>
              <w:lang w:val="en-US" w:eastAsia="zh-CN"/>
            </w:rPr>
            <w:t>容量管理计划</w:t>
          </w:r>
          <w:r>
            <w:tab/>
          </w:r>
          <w:r>
            <w:fldChar w:fldCharType="begin"/>
          </w:r>
          <w:r>
            <w:instrText xml:space="preserve"> PAGEREF _Toc16065 \h </w:instrText>
          </w:r>
          <w:r>
            <w:fldChar w:fldCharType="separate"/>
          </w:r>
          <w:r>
            <w:t>15</w:t>
          </w:r>
          <w:r>
            <w:fldChar w:fldCharType="end"/>
          </w:r>
          <w:r>
            <w:rPr>
              <w:rFonts w:hint="eastAsia" w:ascii="宋体" w:hAnsi="宋体" w:eastAsia="宋体" w:cs="宋体"/>
              <w:szCs w:val="24"/>
            </w:rPr>
            <w:fldChar w:fldCharType="end"/>
          </w:r>
        </w:p>
        <w:p w14:paraId="3F0B4EA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_Toc24032 </w:instrText>
          </w:r>
          <w:r>
            <w:rPr>
              <w:rFonts w:hint="eastAsia" w:ascii="宋体" w:hAnsi="宋体" w:eastAsia="宋体" w:cs="宋体"/>
              <w:szCs w:val="24"/>
            </w:rPr>
            <w:fldChar w:fldCharType="separate"/>
          </w:r>
          <w:r>
            <w:rPr>
              <w:rFonts w:hint="default"/>
              <w:lang w:val="en-US" w:eastAsia="zh-CN"/>
            </w:rPr>
            <w:t xml:space="preserve">2.4.11. </w:t>
          </w:r>
          <w:r>
            <w:rPr>
              <w:rFonts w:hint="eastAsia"/>
              <w:lang w:val="en-US" w:eastAsia="zh-CN"/>
            </w:rPr>
            <w:t>信息安全管理计划</w:t>
          </w:r>
          <w:r>
            <w:tab/>
          </w:r>
          <w:r>
            <w:fldChar w:fldCharType="begin"/>
          </w:r>
          <w:r>
            <w:instrText xml:space="preserve"> PAGEREF _Toc24032 \h </w:instrText>
          </w:r>
          <w:r>
            <w:fldChar w:fldCharType="separate"/>
          </w:r>
          <w:r>
            <w:t>16</w:t>
          </w:r>
          <w:r>
            <w:fldChar w:fldCharType="end"/>
          </w:r>
          <w:r>
            <w:rPr>
              <w:rFonts w:hint="eastAsia" w:ascii="宋体" w:hAnsi="宋体" w:eastAsia="宋体" w:cs="宋体"/>
              <w:szCs w:val="24"/>
            </w:rPr>
            <w:fldChar w:fldCharType="end"/>
          </w:r>
        </w:p>
        <w:p w14:paraId="50453D9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_Toc20048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交付管理计划</w:t>
          </w:r>
          <w:r>
            <w:tab/>
          </w:r>
          <w:r>
            <w:fldChar w:fldCharType="begin"/>
          </w:r>
          <w:r>
            <w:instrText xml:space="preserve"> PAGEREF _Toc20048 \h </w:instrText>
          </w:r>
          <w:r>
            <w:fldChar w:fldCharType="separate"/>
          </w:r>
          <w:r>
            <w:t>16</w:t>
          </w:r>
          <w:r>
            <w:fldChar w:fldCharType="end"/>
          </w:r>
          <w:r>
            <w:rPr>
              <w:rFonts w:hint="eastAsia" w:ascii="宋体" w:hAnsi="宋体" w:eastAsia="宋体" w:cs="宋体"/>
              <w:szCs w:val="24"/>
            </w:rPr>
            <w:fldChar w:fldCharType="end"/>
          </w:r>
        </w:p>
        <w:p w14:paraId="5B0BE7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_Toc24711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应急管理计划</w:t>
          </w:r>
          <w:r>
            <w:tab/>
          </w:r>
          <w:r>
            <w:fldChar w:fldCharType="begin"/>
          </w:r>
          <w:r>
            <w:instrText xml:space="preserve"> PAGEREF _Toc24711 \h </w:instrText>
          </w:r>
          <w:r>
            <w:fldChar w:fldCharType="separate"/>
          </w:r>
          <w:r>
            <w:t>16</w:t>
          </w:r>
          <w:r>
            <w:fldChar w:fldCharType="end"/>
          </w:r>
          <w:r>
            <w:rPr>
              <w:rFonts w:hint="eastAsia" w:ascii="宋体" w:hAnsi="宋体" w:eastAsia="宋体" w:cs="宋体"/>
              <w:szCs w:val="24"/>
            </w:rPr>
            <w:fldChar w:fldCharType="end"/>
          </w:r>
        </w:p>
        <w:p w14:paraId="2CDD5D2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_Toc22660 </w:instrText>
          </w:r>
          <w:r>
            <w:rPr>
              <w:rFonts w:hint="eastAsia" w:ascii="宋体" w:hAnsi="宋体" w:eastAsia="宋体" w:cs="宋体"/>
              <w:szCs w:val="24"/>
            </w:rPr>
            <w:fldChar w:fldCharType="separate"/>
          </w:r>
          <w:r>
            <w:rPr>
              <w:rFonts w:hint="default"/>
              <w:lang w:val="en-US" w:eastAsia="zh-CN"/>
            </w:rPr>
            <w:t xml:space="preserve">2.7. </w:t>
          </w:r>
          <w:r>
            <w:rPr>
              <w:rFonts w:hint="eastAsia"/>
              <w:lang w:val="en-US" w:eastAsia="zh-CN"/>
            </w:rPr>
            <w:t>质量管理计划</w:t>
          </w:r>
          <w:r>
            <w:tab/>
          </w:r>
          <w:r>
            <w:fldChar w:fldCharType="begin"/>
          </w:r>
          <w:r>
            <w:instrText xml:space="preserve"> PAGEREF _Toc22660 \h </w:instrText>
          </w:r>
          <w:r>
            <w:fldChar w:fldCharType="separate"/>
          </w:r>
          <w:r>
            <w:t>16</w:t>
          </w:r>
          <w:r>
            <w:fldChar w:fldCharType="end"/>
          </w:r>
          <w:r>
            <w:rPr>
              <w:rFonts w:hint="eastAsia" w:ascii="宋体" w:hAnsi="宋体" w:eastAsia="宋体" w:cs="宋体"/>
              <w:szCs w:val="24"/>
            </w:rPr>
            <w:fldChar w:fldCharType="end"/>
          </w:r>
        </w:p>
        <w:p w14:paraId="1170C67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_Toc6422 </w:instrText>
          </w:r>
          <w:r>
            <w:rPr>
              <w:rFonts w:hint="eastAsia" w:ascii="宋体" w:hAnsi="宋体" w:eastAsia="宋体" w:cs="宋体"/>
              <w:szCs w:val="24"/>
            </w:rPr>
            <w:fldChar w:fldCharType="separate"/>
          </w:r>
          <w:r>
            <w:rPr>
              <w:rFonts w:hint="default"/>
              <w:lang w:val="en-US" w:eastAsia="zh-CN"/>
            </w:rPr>
            <w:t xml:space="preserve">2.7.1. </w:t>
          </w:r>
          <w:r>
            <w:rPr>
              <w:rFonts w:hint="eastAsia"/>
              <w:lang w:val="en-US" w:eastAsia="zh-CN"/>
            </w:rPr>
            <w:t>内审</w:t>
          </w:r>
          <w:r>
            <w:tab/>
          </w:r>
          <w:r>
            <w:fldChar w:fldCharType="begin"/>
          </w:r>
          <w:r>
            <w:instrText xml:space="preserve"> PAGEREF _Toc6422 \h </w:instrText>
          </w:r>
          <w:r>
            <w:fldChar w:fldCharType="separate"/>
          </w:r>
          <w:r>
            <w:t>16</w:t>
          </w:r>
          <w:r>
            <w:fldChar w:fldCharType="end"/>
          </w:r>
          <w:r>
            <w:rPr>
              <w:rFonts w:hint="eastAsia" w:ascii="宋体" w:hAnsi="宋体" w:eastAsia="宋体" w:cs="宋体"/>
              <w:szCs w:val="24"/>
            </w:rPr>
            <w:fldChar w:fldCharType="end"/>
          </w:r>
        </w:p>
        <w:p w14:paraId="6B4FFC6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 </w:instrText>
          </w:r>
          <w:r>
            <w:rPr>
              <w:rFonts w:hint="eastAsia" w:ascii="宋体" w:hAnsi="宋体" w:eastAsia="宋体" w:cs="宋体"/>
              <w:szCs w:val="24"/>
            </w:rPr>
            <w:fldChar w:fldCharType="separate"/>
          </w:r>
          <w:r>
            <w:rPr>
              <w:rFonts w:hint="default"/>
              <w:lang w:val="en-US" w:eastAsia="zh-CN"/>
            </w:rPr>
            <w:t xml:space="preserve">2.7.2. </w:t>
          </w:r>
          <w:r>
            <w:rPr>
              <w:rFonts w:hint="eastAsia"/>
              <w:lang w:val="en-US" w:eastAsia="zh-CN"/>
            </w:rPr>
            <w:t>管评</w:t>
          </w:r>
          <w:r>
            <w:tab/>
          </w:r>
          <w:r>
            <w:fldChar w:fldCharType="begin"/>
          </w:r>
          <w:r>
            <w:instrText xml:space="preserve"> PAGEREF _Toc116 \h </w:instrText>
          </w:r>
          <w:r>
            <w:fldChar w:fldCharType="separate"/>
          </w:r>
          <w:r>
            <w:t>17</w:t>
          </w:r>
          <w:r>
            <w:fldChar w:fldCharType="end"/>
          </w:r>
          <w:r>
            <w:rPr>
              <w:rFonts w:hint="eastAsia" w:ascii="宋体" w:hAnsi="宋体" w:eastAsia="宋体" w:cs="宋体"/>
              <w:szCs w:val="24"/>
            </w:rPr>
            <w:fldChar w:fldCharType="end"/>
          </w:r>
        </w:p>
        <w:p w14:paraId="636B2D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_Toc9994 </w:instrText>
          </w:r>
          <w:r>
            <w:rPr>
              <w:rFonts w:hint="eastAsia" w:ascii="宋体" w:hAnsi="宋体" w:eastAsia="宋体" w:cs="宋体"/>
              <w:szCs w:val="24"/>
            </w:rPr>
            <w:fldChar w:fldCharType="separate"/>
          </w:r>
          <w:r>
            <w:rPr>
              <w:rFonts w:hint="default"/>
              <w:lang w:val="en-US" w:eastAsia="zh-CN"/>
            </w:rPr>
            <w:t xml:space="preserve">2.7.3. </w:t>
          </w:r>
          <w:r>
            <w:rPr>
              <w:rFonts w:hint="eastAsia"/>
              <w:lang w:val="en-US" w:eastAsia="zh-CN"/>
            </w:rPr>
            <w:t>客户满意度</w:t>
          </w:r>
          <w:r>
            <w:tab/>
          </w:r>
          <w:r>
            <w:fldChar w:fldCharType="begin"/>
          </w:r>
          <w:r>
            <w:instrText xml:space="preserve"> PAGEREF _Toc9994 \h </w:instrText>
          </w:r>
          <w:r>
            <w:fldChar w:fldCharType="separate"/>
          </w:r>
          <w:r>
            <w:t>17</w:t>
          </w:r>
          <w:r>
            <w:fldChar w:fldCharType="end"/>
          </w:r>
          <w:r>
            <w:rPr>
              <w:rFonts w:hint="eastAsia" w:ascii="宋体" w:hAnsi="宋体" w:eastAsia="宋体" w:cs="宋体"/>
              <w:szCs w:val="24"/>
            </w:rPr>
            <w:fldChar w:fldCharType="end"/>
          </w:r>
        </w:p>
        <w:p w14:paraId="580D59E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BC883A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A8D65C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108"/>
      <w:r>
        <w:rPr>
          <w:rFonts w:hint="eastAsia"/>
          <w:lang w:val="en-US" w:eastAsia="zh-CN"/>
        </w:rPr>
        <w:t>背景概况</w:t>
      </w:r>
      <w:bookmarkEnd w:id="3"/>
    </w:p>
    <w:p w14:paraId="75B454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400"/>
      <w:r>
        <w:rPr>
          <w:rFonts w:hint="eastAsia"/>
          <w:lang w:val="en-US" w:eastAsia="zh-CN"/>
        </w:rPr>
        <w:t>公司沿革与核心优势</w:t>
      </w:r>
      <w:bookmarkEnd w:id="4"/>
    </w:p>
    <w:p w14:paraId="1D86E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江西省通信产业服务有限公司作为中国通信服务在江西设立的全资子公司，是省内唯一一家综合性信息化领域生产性服务企业，具备覆盖咨询、设计、施工、集成、运维全链条的一体化服务能力。公司依托央企背景与行业领先资质，深度融入数字中国建设，在智慧城市、数字政府、智慧医疗、智慧教育、智慧交通等领域拥有多个省级标杆项目。公司具备强大的自主研发能力，拥有70余项软件著作权及专利，并在5G、大数据、物联网、人工智能等新一代信息技术方面积累了成熟的融合应用经验。公司拥有超过4000人的高素质专业团队，构建了覆盖全省、辐射全国的服务网络，秉承“上善若水的乙方文化”，始终坚持“利泽万物”的价值追求，在重大社会任务中彰显国企担当，已成为推动江西数字化转型的核心力量。</w:t>
      </w:r>
    </w:p>
    <w:p w14:paraId="016AC9F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7292"/>
      <w:r>
        <w:rPr>
          <w:rFonts w:hint="eastAsia"/>
          <w:lang w:val="en-US" w:eastAsia="zh-CN"/>
        </w:rPr>
        <w:t>引入ITSS的必要性</w:t>
      </w:r>
      <w:bookmarkEnd w:id="5"/>
    </w:p>
    <w:p w14:paraId="1C86B2A2">
      <w:pPr>
        <w:pStyle w:val="29"/>
        <w:rPr>
          <w:rFonts w:hint="eastAsia"/>
          <w:lang w:val="en-US" w:eastAsia="zh-CN"/>
        </w:rPr>
      </w:pPr>
      <w:r>
        <w:rPr>
          <w:rFonts w:hint="eastAsia"/>
          <w:lang w:val="en-US" w:eastAsia="zh-CN"/>
        </w:rPr>
        <w:t>为持续强化服务竞争优势、提升运营管理能效，公司决定全面引入并实施信息技术服务标准（ITSS）体系。通过获得ITSS三级认证，我们将实现以下战略目标：</w:t>
      </w:r>
    </w:p>
    <w:p w14:paraId="5DF9A609">
      <w:pPr>
        <w:pStyle w:val="29"/>
        <w:numPr>
          <w:ilvl w:val="0"/>
          <w:numId w:val="2"/>
        </w:numPr>
        <w:ind w:left="425" w:leftChars="0" w:hanging="425" w:firstLineChars="0"/>
        <w:rPr>
          <w:rFonts w:hint="eastAsia"/>
          <w:lang w:val="en-US" w:eastAsia="zh-CN"/>
        </w:rPr>
      </w:pPr>
      <w:r>
        <w:rPr>
          <w:rFonts w:hint="eastAsia"/>
          <w:lang w:val="en-US" w:eastAsia="zh-CN"/>
        </w:rPr>
        <w:t>构建系统化服务能力：基于ITSS框架建立覆盖全流程的服务管理体系，形成标准化、可复制的服务交付模式，塑造行业专业品牌形象。</w:t>
      </w:r>
    </w:p>
    <w:p w14:paraId="736DCD67">
      <w:pPr>
        <w:pStyle w:val="29"/>
        <w:numPr>
          <w:ilvl w:val="0"/>
          <w:numId w:val="2"/>
        </w:numPr>
        <w:ind w:left="425" w:leftChars="0" w:hanging="425" w:firstLineChars="0"/>
        <w:rPr>
          <w:rFonts w:hint="eastAsia"/>
          <w:lang w:val="en-US" w:eastAsia="zh-CN"/>
        </w:rPr>
      </w:pPr>
      <w:r>
        <w:rPr>
          <w:rFonts w:hint="eastAsia"/>
          <w:lang w:val="en-US" w:eastAsia="zh-CN"/>
        </w:rPr>
        <w:t>推动服务标准化与品质升级：通过规范服务流程、统一交付语言、明确角色职责，确保服务过程可控、结果可预期，持续满足并超越客户的服务承诺。</w:t>
      </w:r>
    </w:p>
    <w:p w14:paraId="6A7E9D8D">
      <w:pPr>
        <w:pStyle w:val="29"/>
        <w:numPr>
          <w:ilvl w:val="0"/>
          <w:numId w:val="2"/>
        </w:numPr>
        <w:ind w:left="425" w:leftChars="0" w:hanging="425" w:firstLineChars="0"/>
        <w:rPr>
          <w:rFonts w:hint="eastAsia"/>
          <w:lang w:val="en-US" w:eastAsia="zh-CN"/>
        </w:rPr>
      </w:pPr>
      <w:r>
        <w:rPr>
          <w:rFonts w:hint="eastAsia"/>
          <w:lang w:val="en-US" w:eastAsia="zh-CN"/>
        </w:rPr>
        <w:t>建立持续改进机制：依托ITSS的“规划—实施—评价—改进”闭环管理机制，实现服务能力的迭代优化与体系化提升，推动组织向更高成熟度演进。</w:t>
      </w:r>
    </w:p>
    <w:p w14:paraId="4B6D43F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404"/>
      <w:bookmarkStart w:id="7" w:name="_Toc7538"/>
      <w:r>
        <w:rPr>
          <w:rFonts w:hint="eastAsia"/>
          <w:lang w:val="en-US" w:eastAsia="zh-CN"/>
        </w:rPr>
        <w:t>人力资源配置</w:t>
      </w:r>
      <w:bookmarkEnd w:id="6"/>
      <w:bookmarkEnd w:id="7"/>
    </w:p>
    <w:p w14:paraId="4B08CE0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当前运维团队已初步构建涵盖一线服务、技术支撑及管理协调的基本架构，能够满足现阶段业务运营需求。但随着运维服务范围的拓展与深度要求的提升，现有团队在技术能力与专业储备方面面临持续挑战。为支撑公司服务能力的系统性提升、保障业务规模的有序扩张，并顺利通过ITSS三级认证，公司已制定明确的人力资源发展计划。</w:t>
      </w:r>
    </w:p>
    <w:p w14:paraId="5323544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在一年内，通过定向引入具备专业运维经验的技术人才，持续优化团队结构，增强现场服务响应与核心技术攻关能力。同时，公司将建立完善的关键岗位储备机制，确保核心职能具备充分的岗位备份与技能冗余，逐步构建一支结构合理、能力全面、支撑有力的专业化运维团队，为公司长期发展提供坚实的人才保障。</w:t>
      </w:r>
    </w:p>
    <w:p w14:paraId="609561E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2814"/>
      <w:r>
        <w:rPr>
          <w:rFonts w:hint="eastAsia"/>
          <w:lang w:val="en-US" w:eastAsia="zh-CN"/>
        </w:rPr>
        <w:t>运维保障提升</w:t>
      </w:r>
      <w:bookmarkEnd w:id="8"/>
    </w:p>
    <w:p w14:paraId="6ED36B9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8353"/>
      <w:r>
        <w:rPr>
          <w:rFonts w:hint="eastAsia"/>
          <w:lang w:val="en-US" w:eastAsia="zh-CN"/>
        </w:rPr>
        <w:t>服务台</w:t>
      </w:r>
      <w:bookmarkEnd w:id="9"/>
    </w:p>
    <w:p w14:paraId="795F16DD">
      <w:pPr>
        <w:pStyle w:val="29"/>
        <w:bidi w:val="0"/>
        <w:rPr>
          <w:rFonts w:hint="eastAsia"/>
          <w:lang w:val="en-US" w:eastAsia="zh-CN"/>
        </w:rPr>
      </w:pPr>
      <w:r>
        <w:t>公司已建成统一服务台，全面承接客户服务请求，确保每项需求得到及时、规范的响应与处理，显著提升服务感知与客户满意度。后续，数智运营部将持续深化服务台能力建设，重点推动技术赋能与服务流程优化，着力提升在线直接解决率，减少工单流转层级与转派耗时，以更敏捷、高效的方式支撑一线业务运营，为客户提供更优质、连贯的服务体验。</w:t>
      </w:r>
    </w:p>
    <w:p w14:paraId="3F58364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32404"/>
      <w:r>
        <w:rPr>
          <w:rFonts w:hint="eastAsia"/>
          <w:lang w:val="en-US" w:eastAsia="zh-CN"/>
        </w:rPr>
        <w:t>运维工具</w:t>
      </w:r>
      <w:bookmarkEnd w:id="10"/>
    </w:p>
    <w:p w14:paraId="091591D8">
      <w:pPr>
        <w:pStyle w:val="29"/>
        <w:rPr>
          <w:rFonts w:hint="eastAsia"/>
          <w:lang w:val="en-US" w:eastAsia="zh-CN"/>
        </w:rPr>
      </w:pPr>
      <w:r>
        <w:rPr>
          <w:rFonts w:hint="eastAsia"/>
          <w:lang w:val="en-US" w:eastAsia="zh-CN"/>
        </w:rPr>
        <w:t>在运维过程管理工具方面，公司已部署通服信息化服务平台和运维安全与数据库审计管控平台，数智运营部及相关团队均已完成培训并熟练使用，有效实现了任务协同、过程跟踪与业务数据的集中采集与分析。未来，研究总院将持续负责该平台的功能优化与迭代升级，并将结合数智运营部在实际使用中提出的反馈与建议，纳入年度研发计划中，确保工具能力与业务发展同步演进，进一步提升运维管理效率与数据支撑能力。</w:t>
      </w:r>
    </w:p>
    <w:p w14:paraId="2E3DDC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3544"/>
      <w:r>
        <w:rPr>
          <w:rFonts w:hint="eastAsia"/>
          <w:lang w:val="en-US" w:eastAsia="zh-CN"/>
        </w:rPr>
        <w:t>服务知识</w:t>
      </w:r>
      <w:bookmarkEnd w:id="11"/>
    </w:p>
    <w:p w14:paraId="527143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持续提升服务质量并支持公司档案存储业务的拓展，数智运营部将联合研究总院对现有《服务知识管理制度》进行全面梳理与优化，推动服务实践经验的系统性沉淀与知识资产化。质量管理部将负责监督该制度在业务中的落地执行与效果评估，确保其有效支撑服务过程。</w:t>
      </w:r>
    </w:p>
    <w:p w14:paraId="57207C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同时，人力部将协同开展专项能力培训，并适时引入具备相关经验的专业人才，通过人员能力、管理流程与平台工具三者的有机结合，共同保障数据中心运维管理服务项目的高质量交付与服务水平的持续提升。</w:t>
      </w:r>
    </w:p>
    <w:p w14:paraId="1DB3FBE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6723"/>
      <w:r>
        <w:rPr>
          <w:rFonts w:hint="eastAsia"/>
          <w:lang w:val="en-US" w:eastAsia="zh-CN"/>
        </w:rPr>
        <w:t>运维服务能力管理计划</w:t>
      </w:r>
      <w:bookmarkEnd w:id="12"/>
    </w:p>
    <w:p w14:paraId="3AB8CF8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440"/>
      <w:bookmarkStart w:id="14" w:name="_Toc19864"/>
      <w:r>
        <w:rPr>
          <w:rFonts w:hint="eastAsia"/>
          <w:lang w:val="en-US" w:eastAsia="zh-CN"/>
        </w:rPr>
        <w:t>人员管理计划</w:t>
      </w:r>
      <w:bookmarkEnd w:id="13"/>
      <w:bookmarkEnd w:id="14"/>
    </w:p>
    <w:p w14:paraId="12C183D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8197"/>
      <w:bookmarkStart w:id="16" w:name="_Toc5366"/>
      <w:r>
        <w:rPr>
          <w:rFonts w:hint="eastAsia"/>
          <w:lang w:val="en-US" w:eastAsia="zh-CN"/>
        </w:rPr>
        <w:t>人员招聘管理计划</w:t>
      </w:r>
      <w:bookmarkEnd w:id="15"/>
      <w:bookmarkEnd w:id="16"/>
    </w:p>
    <w:p w14:paraId="127822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根据公司实际业务发展需要进行招聘。</w:t>
      </w:r>
    </w:p>
    <w:p w14:paraId="31EC2A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招聘计划，如表3-1所示</w:t>
      </w:r>
    </w:p>
    <w:p w14:paraId="5AE6B2D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招聘计划表</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6E82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2DDA6850">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1825" w:type="dxa"/>
            <w:vAlign w:val="center"/>
          </w:tcPr>
          <w:p w14:paraId="171ADEF7">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需求部门</w:t>
            </w:r>
          </w:p>
        </w:tc>
        <w:tc>
          <w:tcPr>
            <w:tcW w:w="2134" w:type="dxa"/>
            <w:vAlign w:val="center"/>
          </w:tcPr>
          <w:p w14:paraId="62A870A1">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520" w:type="dxa"/>
            <w:vAlign w:val="center"/>
          </w:tcPr>
          <w:p w14:paraId="6AC8629B">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招聘人数</w:t>
            </w:r>
          </w:p>
        </w:tc>
        <w:tc>
          <w:tcPr>
            <w:tcW w:w="2142" w:type="dxa"/>
            <w:vAlign w:val="center"/>
          </w:tcPr>
          <w:p w14:paraId="66C1072A">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5E4F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753D2AE">
            <w:pPr>
              <w:pStyle w:val="29"/>
              <w:widowControl w:val="0"/>
              <w:numPr>
                <w:ilvl w:val="0"/>
                <w:numId w:val="3"/>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55A76D3D">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vAlign w:val="center"/>
          </w:tcPr>
          <w:p w14:paraId="5F55E30D">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3F77834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91A64E3">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24EF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EDF6F99">
            <w:pPr>
              <w:pStyle w:val="29"/>
              <w:widowControl w:val="0"/>
              <w:numPr>
                <w:ilvl w:val="0"/>
                <w:numId w:val="3"/>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550C2C23">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vAlign w:val="center"/>
          </w:tcPr>
          <w:p w14:paraId="17A38092">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5434D8B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13E3705C">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52D89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1D04FB7F">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26A27E93">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72EB510A">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4AB75EF3">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21A45DEE">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4B57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690042D">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6792E929">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2A8B541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77FAE6A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7AC66DD0">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6240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2565C7A">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4BEAC1F">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171797F8">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29A1FD43">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55644D4B">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7146A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0ABCC77">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A35068F">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shd w:val="clear" w:color="auto" w:fill="auto"/>
            <w:vAlign w:val="center"/>
          </w:tcPr>
          <w:p w14:paraId="368EBEC3">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357BAFCA">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1340E534">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p>
        </w:tc>
      </w:tr>
      <w:tr w14:paraId="20EC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86320CE">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018E5F3A">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350D6C40">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5781BE3E">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5ED14196">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0A3E4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BBAD028">
            <w:pPr>
              <w:pStyle w:val="29"/>
              <w:widowControl w:val="0"/>
              <w:numPr>
                <w:ilvl w:val="0"/>
                <w:numId w:val="3"/>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B240BD6">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28122C49">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28D8D37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072B27B4">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73ABF88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2AE0A1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5581"/>
      <w:bookmarkStart w:id="18" w:name="_Toc22217"/>
      <w:r>
        <w:rPr>
          <w:rFonts w:hint="eastAsia"/>
          <w:lang w:val="en-US" w:eastAsia="zh-CN"/>
        </w:rPr>
        <w:t>人员储备管理计划</w:t>
      </w:r>
      <w:bookmarkEnd w:id="17"/>
      <w:bookmarkEnd w:id="18"/>
    </w:p>
    <w:p w14:paraId="434BE433">
      <w:pPr>
        <w:pStyle w:val="29"/>
        <w:bidi w:val="0"/>
      </w:pPr>
      <w:r>
        <w:t>为应对关键岗位人才流失风险，确保业务运营的连续性与组织发展韧性，并为公司长期战略推进构建可持续的领导力储备，公司特制定系统化人才梯队建设机制。通过科学识别关键岗位、推行导师带教与项目实践相结合的培养模式，我们将着力强化内部人才的专业能力与管理素养，逐步构建结构清晰、储备充足、能力匹配的人才梯队体系，为公司的稳健发展与持续创新提供坚实的人才支撑。</w:t>
      </w:r>
    </w:p>
    <w:p w14:paraId="6D253C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公司人员储备计划如表3-2所示</w:t>
      </w:r>
    </w:p>
    <w:p w14:paraId="645749B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人员储备计划表</w:t>
      </w:r>
    </w:p>
    <w:tbl>
      <w:tblPr>
        <w:tblStyle w:val="21"/>
        <w:tblW w:w="83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3528"/>
        <w:gridCol w:w="1803"/>
        <w:gridCol w:w="1803"/>
      </w:tblGrid>
      <w:tr w14:paraId="60A82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0" w:type="dxa"/>
            <w:vAlign w:val="center"/>
          </w:tcPr>
          <w:p w14:paraId="77B3304E">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3528" w:type="dxa"/>
            <w:vAlign w:val="center"/>
          </w:tcPr>
          <w:p w14:paraId="1F70C117">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803" w:type="dxa"/>
            <w:vAlign w:val="center"/>
          </w:tcPr>
          <w:p w14:paraId="4343FDE9">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储备人数</w:t>
            </w:r>
          </w:p>
        </w:tc>
        <w:tc>
          <w:tcPr>
            <w:tcW w:w="1803" w:type="dxa"/>
            <w:vAlign w:val="center"/>
          </w:tcPr>
          <w:p w14:paraId="7E60EEA1">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4A89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57E4A353">
            <w:pPr>
              <w:pStyle w:val="29"/>
              <w:widowControl w:val="0"/>
              <w:numPr>
                <w:ilvl w:val="0"/>
                <w:numId w:val="4"/>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3A969B6">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运维部经理</w:t>
            </w:r>
          </w:p>
        </w:tc>
        <w:tc>
          <w:tcPr>
            <w:tcW w:w="1803" w:type="dxa"/>
            <w:vAlign w:val="center"/>
          </w:tcPr>
          <w:p w14:paraId="7726BEB7">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2人</w:t>
            </w:r>
          </w:p>
        </w:tc>
        <w:tc>
          <w:tcPr>
            <w:tcW w:w="1803" w:type="dxa"/>
            <w:vAlign w:val="center"/>
          </w:tcPr>
          <w:p w14:paraId="486B5DCE">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2025年3月</w:t>
            </w:r>
          </w:p>
        </w:tc>
      </w:tr>
      <w:tr w14:paraId="3825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4737F1FB">
            <w:pPr>
              <w:pStyle w:val="29"/>
              <w:widowControl w:val="0"/>
              <w:numPr>
                <w:ilvl w:val="0"/>
                <w:numId w:val="4"/>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0E79F1EB">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研究总院经理</w:t>
            </w:r>
          </w:p>
        </w:tc>
        <w:tc>
          <w:tcPr>
            <w:tcW w:w="1803" w:type="dxa"/>
            <w:vAlign w:val="center"/>
          </w:tcPr>
          <w:p w14:paraId="657C9E13">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3CC25059">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2025年4月</w:t>
            </w:r>
          </w:p>
        </w:tc>
      </w:tr>
      <w:tr w14:paraId="5A95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28D6C3F1">
            <w:pPr>
              <w:pStyle w:val="29"/>
              <w:widowControl w:val="0"/>
              <w:numPr>
                <w:ilvl w:val="0"/>
                <w:numId w:val="4"/>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6853E1D">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质量管理部经理</w:t>
            </w:r>
          </w:p>
        </w:tc>
        <w:tc>
          <w:tcPr>
            <w:tcW w:w="1803" w:type="dxa"/>
            <w:vAlign w:val="center"/>
          </w:tcPr>
          <w:p w14:paraId="77295CCD">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11802EA3">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2025年7月</w:t>
            </w:r>
          </w:p>
        </w:tc>
      </w:tr>
    </w:tbl>
    <w:p w14:paraId="39554E4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p>
    <w:p w14:paraId="4D81CA9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10776"/>
      <w:bookmarkStart w:id="20" w:name="_Toc29759"/>
      <w:r>
        <w:rPr>
          <w:rFonts w:hint="eastAsia"/>
          <w:lang w:val="en-US" w:eastAsia="zh-CN"/>
        </w:rPr>
        <w:t>人员绩效考核管理计划</w:t>
      </w:r>
      <w:bookmarkEnd w:id="19"/>
      <w:bookmarkEnd w:id="20"/>
    </w:p>
    <w:p w14:paraId="354C5DA8">
      <w:pPr>
        <w:pStyle w:val="29"/>
        <w:bidi w:val="0"/>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6D9292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每季度对人员进行考核，要求绩效考核合格率达到95%以上</w:t>
      </w:r>
    </w:p>
    <w:p w14:paraId="632D425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5164"/>
      <w:bookmarkStart w:id="22" w:name="_Toc13055"/>
      <w:r>
        <w:rPr>
          <w:rFonts w:hint="eastAsia"/>
          <w:lang w:val="en-US" w:eastAsia="zh-CN"/>
        </w:rPr>
        <w:t>人员技能评定管理计划</w:t>
      </w:r>
      <w:bookmarkEnd w:id="21"/>
      <w:bookmarkEnd w:id="22"/>
    </w:p>
    <w:p w14:paraId="5DB4E7DA">
      <w:pPr>
        <w:pStyle w:val="29"/>
        <w:bidi w:val="0"/>
      </w:pPr>
      <w:r>
        <w:rPr>
          <w:rFonts w:hint="default"/>
        </w:rPr>
        <w:t>为构建与公司战略发展相匹配的人才能力管理体系，打通“能力识别—薪酬激励—职业发展”一体化通道，并为人才引进、培养与任用提供科学依据，公司现制定岗位技能等级标准化评定机制。该机制通过建立系统化的技能标准与评估流程，实现员工能力的客观量化与动态管理。</w:t>
      </w:r>
    </w:p>
    <w:p w14:paraId="5D57DE50">
      <w:pPr>
        <w:pStyle w:val="29"/>
        <w:bidi w:val="0"/>
        <w:rPr>
          <w:rFonts w:hint="default"/>
        </w:rPr>
      </w:pPr>
      <w:r>
        <w:rPr>
          <w:rFonts w:hint="default"/>
        </w:rPr>
        <w:t>在此基础上，公司将每年组织实施专业技能考核，推动员工能力持续提升，确保整体考核合格率不低于95%，从而保障人才队伍的能力供给与公司业务发展需求的有效衔接。</w:t>
      </w:r>
    </w:p>
    <w:p w14:paraId="4D26882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1241"/>
      <w:bookmarkStart w:id="24" w:name="_Toc12679"/>
      <w:r>
        <w:rPr>
          <w:rFonts w:hint="eastAsia"/>
          <w:lang w:val="en-US" w:eastAsia="zh-CN"/>
        </w:rPr>
        <w:t>人员培训管理计划</w:t>
      </w:r>
      <w:bookmarkEnd w:id="23"/>
      <w:bookmarkEnd w:id="24"/>
    </w:p>
    <w:p w14:paraId="6A4206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Style w:val="42"/>
        </w:rPr>
        <w:t>为支撑公司战略转型与业务升级，推动组织能力与业务发展同步演进，特制定系统性全员赋能计划。本计划旨在通过结构化的培训设计与实战训练，促进新老员工在服务理念、专业技能与协同机制上的深度融合，系统补齐能力短板、加速骨干梯队培养，最终打造一支兼具专业深度与协作广度的复合型团队，为公司的持续发展提供坚实的人才保障。</w:t>
      </w:r>
      <w:r>
        <w:rPr>
          <w:rFonts w:hint="eastAsia"/>
          <w:lang w:val="en-US" w:eastAsia="zh-CN"/>
        </w:rPr>
        <w:t>培训计划，如表3-3所示</w:t>
      </w:r>
    </w:p>
    <w:p w14:paraId="67C6969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1B935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7E3DA70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3BBEED1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项目名称</w:t>
            </w:r>
          </w:p>
        </w:tc>
        <w:tc>
          <w:tcPr>
            <w:tcW w:w="1020" w:type="dxa"/>
            <w:shd w:val="clear" w:color="auto" w:fill="auto"/>
            <w:tcMar>
              <w:top w:w="120" w:type="dxa"/>
              <w:left w:w="192" w:type="dxa"/>
              <w:bottom w:w="120" w:type="dxa"/>
              <w:right w:w="192" w:type="dxa"/>
            </w:tcMar>
            <w:vAlign w:val="center"/>
          </w:tcPr>
          <w:p w14:paraId="7DC021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bidi="ar"/>
              </w:rPr>
              <w:t>培训</w:t>
            </w:r>
            <w:r>
              <w:rPr>
                <w:rFonts w:hint="eastAsia" w:ascii="Segoe UI" w:hAnsi="Segoe UI" w:eastAsia="Segoe UI" w:cs="Segoe UI"/>
                <w:b/>
                <w:i w:val="0"/>
                <w:iCs w:val="0"/>
                <w:caps w:val="0"/>
                <w:snapToGrid w:val="0"/>
                <w:color w:val="000000"/>
                <w:spacing w:val="0"/>
                <w:kern w:val="0"/>
                <w:sz w:val="15"/>
                <w:szCs w:val="15"/>
                <w:lang w:val="en-US" w:eastAsia="zh-CN" w:bidi="ar"/>
              </w:rPr>
              <w:t>课时</w:t>
            </w:r>
          </w:p>
        </w:tc>
        <w:tc>
          <w:tcPr>
            <w:tcW w:w="1008" w:type="dxa"/>
            <w:shd w:val="clear" w:color="auto" w:fill="auto"/>
            <w:tcMar>
              <w:top w:w="120" w:type="dxa"/>
              <w:left w:w="192" w:type="dxa"/>
              <w:bottom w:w="120" w:type="dxa"/>
              <w:right w:w="192" w:type="dxa"/>
            </w:tcMar>
            <w:vAlign w:val="center"/>
          </w:tcPr>
          <w:p w14:paraId="2823C4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培训方式</w:t>
            </w:r>
          </w:p>
        </w:tc>
        <w:tc>
          <w:tcPr>
            <w:tcW w:w="1176" w:type="dxa"/>
            <w:shd w:val="clear" w:color="auto" w:fill="auto"/>
            <w:tcMar>
              <w:top w:w="120" w:type="dxa"/>
              <w:left w:w="192" w:type="dxa"/>
              <w:bottom w:w="120" w:type="dxa"/>
              <w:right w:w="192" w:type="dxa"/>
            </w:tcMar>
            <w:vAlign w:val="center"/>
          </w:tcPr>
          <w:p w14:paraId="410E0B6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培训时间</w:t>
            </w:r>
          </w:p>
        </w:tc>
        <w:tc>
          <w:tcPr>
            <w:tcW w:w="800" w:type="dxa"/>
            <w:shd w:val="clear" w:color="auto" w:fill="auto"/>
            <w:tcMar>
              <w:top w:w="120" w:type="dxa"/>
              <w:left w:w="192" w:type="dxa"/>
              <w:bottom w:w="120" w:type="dxa"/>
              <w:right w:w="192" w:type="dxa"/>
            </w:tcMar>
            <w:vAlign w:val="center"/>
          </w:tcPr>
          <w:p w14:paraId="2C296B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2247AF84">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b/>
                <w:i w:val="0"/>
                <w:iCs w:val="0"/>
                <w:caps w:val="0"/>
                <w:snapToGrid w:val="0"/>
                <w:color w:val="000000"/>
                <w:spacing w:val="0"/>
                <w:kern w:val="0"/>
                <w:sz w:val="15"/>
                <w:szCs w:val="15"/>
                <w:lang w:val="en-US" w:eastAsia="zh-CN" w:bidi="ar"/>
              </w:rPr>
            </w:pPr>
            <w:r>
              <w:rPr>
                <w:rFonts w:hint="eastAsia" w:ascii="Segoe UI" w:hAnsi="Segoe UI" w:eastAsia="Segoe UI" w:cs="Segoe UI"/>
                <w:b/>
                <w:i w:val="0"/>
                <w:iCs w:val="0"/>
                <w:caps w:val="0"/>
                <w:snapToGrid w:val="0"/>
                <w:color w:val="000000"/>
                <w:spacing w:val="0"/>
                <w:kern w:val="0"/>
                <w:sz w:val="15"/>
                <w:szCs w:val="15"/>
                <w:lang w:val="en-US" w:eastAsia="zh-CN" w:bidi="ar"/>
              </w:rPr>
              <w:t>培训对象</w:t>
            </w:r>
          </w:p>
        </w:tc>
        <w:tc>
          <w:tcPr>
            <w:tcW w:w="820" w:type="dxa"/>
            <w:shd w:val="clear" w:color="auto" w:fill="auto"/>
            <w:tcMar>
              <w:top w:w="120" w:type="dxa"/>
              <w:left w:w="192" w:type="dxa"/>
              <w:bottom w:w="120" w:type="dxa"/>
              <w:right w:w="192" w:type="dxa"/>
            </w:tcMar>
            <w:vAlign w:val="center"/>
          </w:tcPr>
          <w:p w14:paraId="2C4BBE9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5"/>
                <w:szCs w:val="15"/>
                <w:lang w:val="en-US" w:eastAsia="zh-CN" w:bidi="ar"/>
              </w:rPr>
            </w:pPr>
            <w:r>
              <w:rPr>
                <w:rFonts w:hint="default" w:ascii="Segoe UI" w:hAnsi="Segoe UI" w:eastAsia="Segoe UI" w:cs="Segoe UI"/>
                <w:b/>
                <w:i w:val="0"/>
                <w:iCs w:val="0"/>
                <w:caps w:val="0"/>
                <w:snapToGrid w:val="0"/>
                <w:color w:val="000000"/>
                <w:spacing w:val="0"/>
                <w:kern w:val="0"/>
                <w:sz w:val="15"/>
                <w:szCs w:val="15"/>
                <w:lang w:val="en-US" w:eastAsia="zh-CN" w:bidi="ar"/>
              </w:rPr>
              <w:t>费用预估</w:t>
            </w:r>
          </w:p>
          <w:p w14:paraId="603BB52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bidi="ar"/>
              </w:rPr>
              <w:t>（元）</w:t>
            </w:r>
          </w:p>
        </w:tc>
      </w:tr>
      <w:tr w14:paraId="366B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459F575">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FBAFA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ITSS运维体系培训</w:t>
            </w:r>
          </w:p>
        </w:tc>
        <w:tc>
          <w:tcPr>
            <w:tcW w:w="1020" w:type="dxa"/>
            <w:shd w:val="clear" w:color="auto" w:fill="auto"/>
            <w:tcMar>
              <w:top w:w="120" w:type="dxa"/>
              <w:left w:w="192" w:type="dxa"/>
              <w:bottom w:w="120" w:type="dxa"/>
              <w:right w:w="192" w:type="dxa"/>
            </w:tcMar>
            <w:vAlign w:val="center"/>
          </w:tcPr>
          <w:p w14:paraId="44D6BD00">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0D770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0FD6FE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年1月</w:t>
            </w:r>
          </w:p>
        </w:tc>
        <w:tc>
          <w:tcPr>
            <w:tcW w:w="800" w:type="dxa"/>
            <w:shd w:val="clear" w:color="auto" w:fill="auto"/>
            <w:tcMar>
              <w:top w:w="120" w:type="dxa"/>
              <w:left w:w="192" w:type="dxa"/>
              <w:bottom w:w="120" w:type="dxa"/>
              <w:right w:w="0" w:type="dxa"/>
            </w:tcMar>
            <w:vAlign w:val="center"/>
          </w:tcPr>
          <w:p w14:paraId="7878BA41">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7098FA8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全体人员</w:t>
            </w:r>
          </w:p>
        </w:tc>
        <w:tc>
          <w:tcPr>
            <w:tcW w:w="820" w:type="dxa"/>
            <w:shd w:val="clear" w:color="auto" w:fill="auto"/>
            <w:tcMar>
              <w:top w:w="120" w:type="dxa"/>
              <w:left w:w="192" w:type="dxa"/>
              <w:bottom w:w="120" w:type="dxa"/>
              <w:right w:w="0" w:type="dxa"/>
            </w:tcMar>
            <w:vAlign w:val="center"/>
          </w:tcPr>
          <w:p w14:paraId="2A31B8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3ADA2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268E438B">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CD85EE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人员备份培训</w:t>
            </w:r>
          </w:p>
        </w:tc>
        <w:tc>
          <w:tcPr>
            <w:tcW w:w="1020" w:type="dxa"/>
            <w:shd w:val="clear" w:color="auto" w:fill="auto"/>
            <w:tcMar>
              <w:top w:w="120" w:type="dxa"/>
              <w:left w:w="192" w:type="dxa"/>
              <w:bottom w:w="120" w:type="dxa"/>
              <w:right w:w="192" w:type="dxa"/>
            </w:tcMar>
            <w:vAlign w:val="center"/>
          </w:tcPr>
          <w:p w14:paraId="020160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29FCAC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278F4B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2025年1月</w:t>
            </w:r>
          </w:p>
        </w:tc>
        <w:tc>
          <w:tcPr>
            <w:tcW w:w="800" w:type="dxa"/>
            <w:shd w:val="clear" w:color="auto" w:fill="auto"/>
            <w:tcMar>
              <w:top w:w="120" w:type="dxa"/>
              <w:left w:w="192" w:type="dxa"/>
              <w:bottom w:w="120" w:type="dxa"/>
              <w:right w:w="0" w:type="dxa"/>
            </w:tcMar>
            <w:vAlign w:val="center"/>
          </w:tcPr>
          <w:p w14:paraId="71195F4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1D50AA5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C9201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549F5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4B85801">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3BFA78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服务意识培训</w:t>
            </w:r>
          </w:p>
        </w:tc>
        <w:tc>
          <w:tcPr>
            <w:tcW w:w="1020" w:type="dxa"/>
            <w:shd w:val="clear" w:color="auto" w:fill="auto"/>
            <w:tcMar>
              <w:top w:w="120" w:type="dxa"/>
              <w:left w:w="192" w:type="dxa"/>
              <w:bottom w:w="120" w:type="dxa"/>
              <w:right w:w="192" w:type="dxa"/>
            </w:tcMar>
            <w:vAlign w:val="center"/>
          </w:tcPr>
          <w:p w14:paraId="207ADF1F">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F4CEE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76FD81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年2月</w:t>
            </w:r>
          </w:p>
        </w:tc>
        <w:tc>
          <w:tcPr>
            <w:tcW w:w="800" w:type="dxa"/>
            <w:shd w:val="clear" w:color="auto" w:fill="auto"/>
            <w:tcMar>
              <w:top w:w="120" w:type="dxa"/>
              <w:left w:w="192" w:type="dxa"/>
              <w:bottom w:w="120" w:type="dxa"/>
              <w:right w:w="0" w:type="dxa"/>
            </w:tcMar>
            <w:vAlign w:val="center"/>
          </w:tcPr>
          <w:p w14:paraId="50B2BC4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3B3D0EA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01D9E9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56E96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26A242C">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DC408B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运维工具培训</w:t>
            </w:r>
          </w:p>
        </w:tc>
        <w:tc>
          <w:tcPr>
            <w:tcW w:w="1020" w:type="dxa"/>
            <w:shd w:val="clear" w:color="auto" w:fill="auto"/>
            <w:tcMar>
              <w:top w:w="120" w:type="dxa"/>
              <w:left w:w="192" w:type="dxa"/>
              <w:bottom w:w="120" w:type="dxa"/>
              <w:right w:w="192" w:type="dxa"/>
            </w:tcMar>
            <w:vAlign w:val="center"/>
          </w:tcPr>
          <w:p w14:paraId="5135AB14">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4C11B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2B81BF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年3月</w:t>
            </w:r>
          </w:p>
        </w:tc>
        <w:tc>
          <w:tcPr>
            <w:tcW w:w="800" w:type="dxa"/>
            <w:shd w:val="clear" w:color="auto" w:fill="auto"/>
            <w:tcMar>
              <w:top w:w="120" w:type="dxa"/>
              <w:left w:w="192" w:type="dxa"/>
              <w:bottom w:w="120" w:type="dxa"/>
              <w:right w:w="0" w:type="dxa"/>
            </w:tcMar>
            <w:vAlign w:val="center"/>
          </w:tcPr>
          <w:p w14:paraId="24C2CE7A">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624CE80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303F72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471B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22F94C7">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6CA954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工单</w:t>
            </w:r>
            <w:r>
              <w:rPr>
                <w:rFonts w:hint="default" w:ascii="Segoe UI" w:hAnsi="Segoe UI" w:eastAsia="Segoe UI" w:cs="Segoe UI"/>
                <w:i w:val="0"/>
                <w:iCs w:val="0"/>
                <w:caps w:val="0"/>
                <w:snapToGrid w:val="0"/>
                <w:color w:val="000000"/>
                <w:spacing w:val="0"/>
                <w:kern w:val="0"/>
                <w:sz w:val="15"/>
                <w:szCs w:val="15"/>
                <w:lang w:val="en-US" w:eastAsia="zh-CN" w:bidi="ar"/>
              </w:rPr>
              <w:t>系统培训</w:t>
            </w:r>
          </w:p>
        </w:tc>
        <w:tc>
          <w:tcPr>
            <w:tcW w:w="1020" w:type="dxa"/>
            <w:shd w:val="clear" w:color="auto" w:fill="auto"/>
            <w:tcMar>
              <w:top w:w="120" w:type="dxa"/>
              <w:left w:w="192" w:type="dxa"/>
              <w:bottom w:w="120" w:type="dxa"/>
              <w:right w:w="192" w:type="dxa"/>
            </w:tcMar>
            <w:vAlign w:val="center"/>
          </w:tcPr>
          <w:p w14:paraId="35C72062">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9079E8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6F04CB1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年4月</w:t>
            </w:r>
          </w:p>
        </w:tc>
        <w:tc>
          <w:tcPr>
            <w:tcW w:w="800" w:type="dxa"/>
            <w:shd w:val="clear" w:color="auto" w:fill="auto"/>
            <w:tcMar>
              <w:top w:w="120" w:type="dxa"/>
              <w:left w:w="192" w:type="dxa"/>
              <w:bottom w:w="120" w:type="dxa"/>
              <w:right w:w="0" w:type="dxa"/>
            </w:tcMar>
            <w:vAlign w:val="center"/>
          </w:tcPr>
          <w:p w14:paraId="5BB5F10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B4E07D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063B30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34514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E02520A">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55E4E0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员工手册培训</w:t>
            </w:r>
          </w:p>
        </w:tc>
        <w:tc>
          <w:tcPr>
            <w:tcW w:w="1020" w:type="dxa"/>
            <w:shd w:val="clear" w:color="auto" w:fill="auto"/>
            <w:tcMar>
              <w:top w:w="120" w:type="dxa"/>
              <w:left w:w="192" w:type="dxa"/>
              <w:bottom w:w="120" w:type="dxa"/>
              <w:right w:w="192" w:type="dxa"/>
            </w:tcMar>
            <w:vAlign w:val="center"/>
          </w:tcPr>
          <w:p w14:paraId="02D3DB8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BAEEF6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14C392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年5月</w:t>
            </w:r>
          </w:p>
        </w:tc>
        <w:tc>
          <w:tcPr>
            <w:tcW w:w="800" w:type="dxa"/>
            <w:shd w:val="clear" w:color="auto" w:fill="auto"/>
            <w:tcMar>
              <w:top w:w="120" w:type="dxa"/>
              <w:left w:w="192" w:type="dxa"/>
              <w:bottom w:w="120" w:type="dxa"/>
              <w:right w:w="0" w:type="dxa"/>
            </w:tcMar>
            <w:vAlign w:val="center"/>
          </w:tcPr>
          <w:p w14:paraId="1DB169C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64EC5A4B">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765E06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0CC8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5AABF84">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bidi="ar"/>
              </w:rPr>
            </w:pPr>
          </w:p>
        </w:tc>
        <w:tc>
          <w:tcPr>
            <w:tcW w:w="1935" w:type="dxa"/>
            <w:shd w:val="clear" w:color="auto" w:fill="auto"/>
            <w:tcMar>
              <w:top w:w="120" w:type="dxa"/>
              <w:left w:w="192" w:type="dxa"/>
              <w:bottom w:w="120" w:type="dxa"/>
              <w:right w:w="192" w:type="dxa"/>
            </w:tcMar>
            <w:vAlign w:val="center"/>
          </w:tcPr>
          <w:p w14:paraId="07EC0B2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应急管理培训</w:t>
            </w:r>
          </w:p>
        </w:tc>
        <w:tc>
          <w:tcPr>
            <w:tcW w:w="1020" w:type="dxa"/>
            <w:shd w:val="clear" w:color="auto" w:fill="auto"/>
            <w:tcMar>
              <w:top w:w="120" w:type="dxa"/>
              <w:left w:w="192" w:type="dxa"/>
              <w:bottom w:w="120" w:type="dxa"/>
              <w:right w:w="192" w:type="dxa"/>
            </w:tcMar>
            <w:vAlign w:val="center"/>
          </w:tcPr>
          <w:p w14:paraId="2C1EA4D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4</w:t>
            </w:r>
          </w:p>
        </w:tc>
        <w:tc>
          <w:tcPr>
            <w:tcW w:w="1008" w:type="dxa"/>
            <w:shd w:val="clear" w:color="auto" w:fill="auto"/>
            <w:tcMar>
              <w:top w:w="120" w:type="dxa"/>
              <w:left w:w="192" w:type="dxa"/>
              <w:bottom w:w="120" w:type="dxa"/>
              <w:right w:w="192" w:type="dxa"/>
            </w:tcMar>
            <w:vAlign w:val="center"/>
          </w:tcPr>
          <w:p w14:paraId="3DE2A9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542911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2025年5月</w:t>
            </w:r>
          </w:p>
        </w:tc>
        <w:tc>
          <w:tcPr>
            <w:tcW w:w="800" w:type="dxa"/>
            <w:shd w:val="clear" w:color="auto" w:fill="auto"/>
            <w:tcMar>
              <w:top w:w="120" w:type="dxa"/>
              <w:left w:w="192" w:type="dxa"/>
              <w:bottom w:w="120" w:type="dxa"/>
              <w:right w:w="0" w:type="dxa"/>
            </w:tcMar>
            <w:vAlign w:val="center"/>
          </w:tcPr>
          <w:p w14:paraId="5AEEFD14">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2E255324">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3A18A42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3E9E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2D7C6B1">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EA119D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Java 架构培训</w:t>
            </w:r>
          </w:p>
        </w:tc>
        <w:tc>
          <w:tcPr>
            <w:tcW w:w="1020" w:type="dxa"/>
            <w:shd w:val="clear" w:color="auto" w:fill="auto"/>
            <w:tcMar>
              <w:top w:w="120" w:type="dxa"/>
              <w:left w:w="192" w:type="dxa"/>
              <w:bottom w:w="120" w:type="dxa"/>
              <w:right w:w="192" w:type="dxa"/>
            </w:tcMar>
            <w:vAlign w:val="center"/>
          </w:tcPr>
          <w:p w14:paraId="3D4B2E4B">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A24A1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外部</w:t>
            </w:r>
          </w:p>
        </w:tc>
        <w:tc>
          <w:tcPr>
            <w:tcW w:w="1176" w:type="dxa"/>
            <w:shd w:val="clear" w:color="auto" w:fill="auto"/>
            <w:tcMar>
              <w:top w:w="120" w:type="dxa"/>
              <w:left w:w="192" w:type="dxa"/>
              <w:bottom w:w="120" w:type="dxa"/>
              <w:right w:w="192" w:type="dxa"/>
            </w:tcMar>
            <w:vAlign w:val="center"/>
          </w:tcPr>
          <w:p w14:paraId="47CCB25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年6月</w:t>
            </w:r>
          </w:p>
        </w:tc>
        <w:tc>
          <w:tcPr>
            <w:tcW w:w="800" w:type="dxa"/>
            <w:shd w:val="clear" w:color="auto" w:fill="auto"/>
            <w:tcMar>
              <w:top w:w="120" w:type="dxa"/>
              <w:left w:w="192" w:type="dxa"/>
              <w:bottom w:w="120" w:type="dxa"/>
              <w:right w:w="0" w:type="dxa"/>
            </w:tcMar>
            <w:vAlign w:val="center"/>
          </w:tcPr>
          <w:p w14:paraId="7AE104C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04369A93">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研发相关人员</w:t>
            </w:r>
          </w:p>
        </w:tc>
        <w:tc>
          <w:tcPr>
            <w:tcW w:w="820" w:type="dxa"/>
            <w:shd w:val="clear" w:color="auto" w:fill="auto"/>
            <w:tcMar>
              <w:top w:w="120" w:type="dxa"/>
              <w:left w:w="192" w:type="dxa"/>
              <w:bottom w:w="120" w:type="dxa"/>
              <w:right w:w="0" w:type="dxa"/>
            </w:tcMar>
            <w:vAlign w:val="center"/>
          </w:tcPr>
          <w:p w14:paraId="500BAFB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5,000</w:t>
            </w:r>
          </w:p>
        </w:tc>
      </w:tr>
      <w:tr w14:paraId="145A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25D43F6">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6E6AE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bidi="ar"/>
              </w:rPr>
              <w:t>信息安全培训</w:t>
            </w:r>
          </w:p>
        </w:tc>
        <w:tc>
          <w:tcPr>
            <w:tcW w:w="1020" w:type="dxa"/>
            <w:shd w:val="clear" w:color="auto" w:fill="auto"/>
            <w:tcMar>
              <w:top w:w="120" w:type="dxa"/>
              <w:left w:w="192" w:type="dxa"/>
              <w:bottom w:w="120" w:type="dxa"/>
              <w:right w:w="192" w:type="dxa"/>
            </w:tcMar>
            <w:vAlign w:val="center"/>
          </w:tcPr>
          <w:p w14:paraId="5AC4D52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77F8C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4187797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年7月</w:t>
            </w:r>
          </w:p>
        </w:tc>
        <w:tc>
          <w:tcPr>
            <w:tcW w:w="800" w:type="dxa"/>
            <w:shd w:val="clear" w:color="auto" w:fill="auto"/>
            <w:tcMar>
              <w:top w:w="120" w:type="dxa"/>
              <w:left w:w="192" w:type="dxa"/>
              <w:bottom w:w="120" w:type="dxa"/>
              <w:right w:w="0" w:type="dxa"/>
            </w:tcMar>
            <w:vAlign w:val="center"/>
          </w:tcPr>
          <w:p w14:paraId="5E10182D">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1117EF43">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646479FA">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31118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09C19FA">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9E8023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bidi="ar"/>
              </w:rPr>
              <w:t>服务台规范培训</w:t>
            </w:r>
          </w:p>
        </w:tc>
        <w:tc>
          <w:tcPr>
            <w:tcW w:w="1020" w:type="dxa"/>
            <w:shd w:val="clear" w:color="auto" w:fill="auto"/>
            <w:tcMar>
              <w:top w:w="120" w:type="dxa"/>
              <w:left w:w="192" w:type="dxa"/>
              <w:bottom w:w="120" w:type="dxa"/>
              <w:right w:w="192" w:type="dxa"/>
            </w:tcMar>
            <w:vAlign w:val="center"/>
          </w:tcPr>
          <w:p w14:paraId="2AED877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0FE2F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33BFD63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年8月</w:t>
            </w:r>
          </w:p>
        </w:tc>
        <w:tc>
          <w:tcPr>
            <w:tcW w:w="800" w:type="dxa"/>
            <w:shd w:val="clear" w:color="auto" w:fill="auto"/>
            <w:tcMar>
              <w:top w:w="120" w:type="dxa"/>
              <w:left w:w="192" w:type="dxa"/>
              <w:bottom w:w="120" w:type="dxa"/>
              <w:right w:w="0" w:type="dxa"/>
            </w:tcMar>
            <w:vAlign w:val="center"/>
          </w:tcPr>
          <w:p w14:paraId="2FD55416">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98FB692">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73B871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288F2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C8A5C15">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8E7C2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管理能力提升</w:t>
            </w:r>
          </w:p>
        </w:tc>
        <w:tc>
          <w:tcPr>
            <w:tcW w:w="1020" w:type="dxa"/>
            <w:shd w:val="clear" w:color="auto" w:fill="auto"/>
            <w:tcMar>
              <w:top w:w="120" w:type="dxa"/>
              <w:left w:w="192" w:type="dxa"/>
              <w:bottom w:w="120" w:type="dxa"/>
              <w:right w:w="192" w:type="dxa"/>
            </w:tcMar>
            <w:vAlign w:val="center"/>
          </w:tcPr>
          <w:p w14:paraId="7840CD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1</w:t>
            </w:r>
          </w:p>
        </w:tc>
        <w:tc>
          <w:tcPr>
            <w:tcW w:w="1008" w:type="dxa"/>
            <w:shd w:val="clear" w:color="auto" w:fill="auto"/>
            <w:tcMar>
              <w:top w:w="120" w:type="dxa"/>
              <w:left w:w="192" w:type="dxa"/>
              <w:bottom w:w="120" w:type="dxa"/>
              <w:right w:w="192" w:type="dxa"/>
            </w:tcMar>
            <w:vAlign w:val="center"/>
          </w:tcPr>
          <w:p w14:paraId="5FB5BF4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外部</w:t>
            </w:r>
          </w:p>
        </w:tc>
        <w:tc>
          <w:tcPr>
            <w:tcW w:w="1176" w:type="dxa"/>
            <w:shd w:val="clear" w:color="auto" w:fill="auto"/>
            <w:tcMar>
              <w:top w:w="120" w:type="dxa"/>
              <w:left w:w="192" w:type="dxa"/>
              <w:bottom w:w="120" w:type="dxa"/>
              <w:right w:w="192" w:type="dxa"/>
            </w:tcMar>
            <w:vAlign w:val="center"/>
          </w:tcPr>
          <w:p w14:paraId="3C4AE3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年9月</w:t>
            </w:r>
          </w:p>
        </w:tc>
        <w:tc>
          <w:tcPr>
            <w:tcW w:w="800" w:type="dxa"/>
            <w:shd w:val="clear" w:color="auto" w:fill="auto"/>
            <w:tcMar>
              <w:top w:w="120" w:type="dxa"/>
              <w:left w:w="192" w:type="dxa"/>
              <w:bottom w:w="120" w:type="dxa"/>
              <w:right w:w="0" w:type="dxa"/>
            </w:tcMar>
            <w:vAlign w:val="center"/>
          </w:tcPr>
          <w:p w14:paraId="34A383A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D1D9DA5">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60A9DF8D">
            <w:pPr>
              <w:keepNext w:val="0"/>
              <w:keepLines w:val="0"/>
              <w:widowControl/>
              <w:suppressLineNumbers w:val="0"/>
              <w:tabs>
                <w:tab w:val="center" w:pos="528"/>
              </w:tabs>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194CF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0D193A41">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00D45A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日常运维典型案例分析</w:t>
            </w:r>
          </w:p>
        </w:tc>
        <w:tc>
          <w:tcPr>
            <w:tcW w:w="1020" w:type="dxa"/>
            <w:shd w:val="clear" w:color="auto" w:fill="auto"/>
            <w:tcMar>
              <w:top w:w="120" w:type="dxa"/>
              <w:left w:w="192" w:type="dxa"/>
              <w:bottom w:w="120" w:type="dxa"/>
              <w:right w:w="192" w:type="dxa"/>
            </w:tcMar>
            <w:vAlign w:val="center"/>
          </w:tcPr>
          <w:p w14:paraId="0199DD1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2456FA9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5FB7C9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年10月</w:t>
            </w:r>
          </w:p>
        </w:tc>
        <w:tc>
          <w:tcPr>
            <w:tcW w:w="800" w:type="dxa"/>
            <w:shd w:val="clear" w:color="auto" w:fill="auto"/>
            <w:tcMar>
              <w:top w:w="120" w:type="dxa"/>
              <w:left w:w="192" w:type="dxa"/>
              <w:bottom w:w="120" w:type="dxa"/>
              <w:right w:w="0" w:type="dxa"/>
            </w:tcMar>
            <w:vAlign w:val="center"/>
          </w:tcPr>
          <w:p w14:paraId="7D61EBF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9FE363D">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EC8459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23A3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223CCD8">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E37DE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66209AB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2E336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bidi="ar"/>
              </w:rPr>
              <w:t>内部</w:t>
            </w:r>
            <w:r>
              <w:rPr>
                <w:rFonts w:hint="eastAsia" w:ascii="Segoe UI" w:hAnsi="Segoe UI" w:eastAsia="Segoe UI" w:cs="Segoe UI"/>
                <w:i w:val="0"/>
                <w:iCs w:val="0"/>
                <w:caps w:val="0"/>
                <w:snapToGrid w:val="0"/>
                <w:color w:val="000000"/>
                <w:spacing w:val="0"/>
                <w:kern w:val="0"/>
                <w:sz w:val="15"/>
                <w:szCs w:val="15"/>
                <w:lang w:val="en-US" w:eastAsia="zh-CN" w:bidi="ar"/>
              </w:rPr>
              <w:t xml:space="preserve"> </w:t>
            </w:r>
          </w:p>
        </w:tc>
        <w:tc>
          <w:tcPr>
            <w:tcW w:w="1176" w:type="dxa"/>
            <w:shd w:val="clear" w:color="auto" w:fill="auto"/>
            <w:tcMar>
              <w:top w:w="120" w:type="dxa"/>
              <w:left w:w="192" w:type="dxa"/>
              <w:bottom w:w="120" w:type="dxa"/>
              <w:right w:w="192" w:type="dxa"/>
            </w:tcMar>
            <w:vAlign w:val="center"/>
          </w:tcPr>
          <w:p w14:paraId="6A4BEF3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年11月</w:t>
            </w:r>
          </w:p>
        </w:tc>
        <w:tc>
          <w:tcPr>
            <w:tcW w:w="800" w:type="dxa"/>
            <w:shd w:val="clear" w:color="auto" w:fill="auto"/>
            <w:tcMar>
              <w:top w:w="120" w:type="dxa"/>
              <w:left w:w="192" w:type="dxa"/>
              <w:bottom w:w="120" w:type="dxa"/>
              <w:right w:w="0" w:type="dxa"/>
            </w:tcMar>
            <w:vAlign w:val="center"/>
          </w:tcPr>
          <w:p w14:paraId="00F80BF2">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321BF85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研发相关人员</w:t>
            </w:r>
          </w:p>
        </w:tc>
        <w:tc>
          <w:tcPr>
            <w:tcW w:w="820" w:type="dxa"/>
            <w:shd w:val="clear" w:color="auto" w:fill="auto"/>
            <w:tcMar>
              <w:top w:w="120" w:type="dxa"/>
              <w:left w:w="192" w:type="dxa"/>
              <w:bottom w:w="120" w:type="dxa"/>
              <w:right w:w="0" w:type="dxa"/>
            </w:tcMar>
            <w:vAlign w:val="center"/>
          </w:tcPr>
          <w:p w14:paraId="2B5FC5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bl>
    <w:p w14:paraId="2183F8D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4AA5543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32275"/>
      <w:bookmarkStart w:id="26" w:name="_Toc17669"/>
      <w:r>
        <w:rPr>
          <w:rFonts w:hint="eastAsia"/>
          <w:lang w:val="en-US" w:eastAsia="zh-CN"/>
        </w:rPr>
        <w:t>人员备份管理计划</w:t>
      </w:r>
      <w:bookmarkEnd w:id="25"/>
      <w:bookmarkEnd w:id="26"/>
    </w:p>
    <w:p w14:paraId="119CAA28">
      <w:pPr>
        <w:pStyle w:val="29"/>
        <w:bidi w:val="0"/>
      </w:pPr>
      <w:r>
        <w:rPr>
          <w:rFonts w:hint="default"/>
        </w:rPr>
        <w:t>为确保关键岗位在面临突发性人员缺席（如休假、离职或病假）时仍能维持业务连续运转，特制定本备份管理计划。本计划聚焦于降低因短期人员缺口导致的运营中断风险，通过提前规划与部署岗位备份人员，保障业务在紧急情况下的无缝衔接与平稳过渡，属于公司业务连续性管理体系的重要组成部分。</w:t>
      </w:r>
    </w:p>
    <w:p w14:paraId="3DDA0083">
      <w:pPr>
        <w:pStyle w:val="29"/>
        <w:bidi w:val="0"/>
        <w:rPr>
          <w:rFonts w:hint="eastAsia"/>
          <w:lang w:val="en-US" w:eastAsia="zh-CN"/>
        </w:rPr>
      </w:pPr>
      <w:r>
        <w:rPr>
          <w:rFonts w:hint="default"/>
        </w:rPr>
        <w:t>依据本计划，各关键岗位均已配置相应备份人员，确保其能够在短期内（通常为1至4周）迅速接替核心职责。具体备份安排详见表3-4所示。</w:t>
      </w:r>
    </w:p>
    <w:p w14:paraId="0D88527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关键岗位备份表</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1171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A6E18E9">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43B8BB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E06DAB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B5C0D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1A8E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43814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6CEF16B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到岗时间</w:t>
            </w:r>
          </w:p>
        </w:tc>
      </w:tr>
      <w:tr w14:paraId="1BEB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5C3C639">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2DF3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07F5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D46E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971FF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E5FB25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1CAC9E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2025年2月</w:t>
            </w:r>
          </w:p>
        </w:tc>
      </w:tr>
      <w:tr w14:paraId="15431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3286B38">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78632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EA8BD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EAB244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25D53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数智运营部经理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BAA96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02A8431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2025年4月</w:t>
            </w:r>
          </w:p>
        </w:tc>
      </w:tr>
      <w:tr w14:paraId="2D27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AD38626">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BEDC45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70D512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BA0A88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F8CCD6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B05A9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616F00E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2025年5月</w:t>
            </w:r>
          </w:p>
        </w:tc>
      </w:tr>
      <w:tr w14:paraId="12131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50D1A32">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9F6615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5A801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206ACA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7143A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FE782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4B2BD5A2">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2025年7月</w:t>
            </w:r>
          </w:p>
        </w:tc>
      </w:tr>
    </w:tbl>
    <w:p w14:paraId="0C4DFA3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025DB14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4317"/>
      <w:r>
        <w:rPr>
          <w:rFonts w:hint="eastAsia"/>
          <w:lang w:val="en-US" w:eastAsia="zh-CN"/>
        </w:rPr>
        <w:t>资源管理计划</w:t>
      </w:r>
      <w:bookmarkEnd w:id="27"/>
    </w:p>
    <w:p w14:paraId="5B99132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0144"/>
      <w:r>
        <w:rPr>
          <w:rFonts w:hint="eastAsia"/>
          <w:lang w:val="en-US" w:eastAsia="zh-CN"/>
        </w:rPr>
        <w:t>运维工具管理计划</w:t>
      </w:r>
      <w:bookmarkEnd w:id="28"/>
    </w:p>
    <w:p w14:paraId="1991B815">
      <w:pPr>
        <w:pStyle w:val="29"/>
        <w:bidi w:val="0"/>
        <w:rPr>
          <w:rFonts w:hint="default"/>
        </w:rPr>
      </w:pPr>
      <w:r>
        <w:rPr>
          <w:rFonts w:hint="default"/>
        </w:rPr>
        <w:t>为有效管理与优化运维工具体系，支撑服务交付的效率与质量，公司建立了以数字化平台为核心的运维工具管理机制，并设定了明确的效能评估标准。该机制以年度为管理周期，核心考核指标为“年度工具自评估执行次数”，目标值为不少于1次。由数智运营部牵头，联合研究总院共同开展工具能力的系统性评估，审视其在协同效率、流程支持与数据集成等方面的表现，评估结果将直接作为工具功能优化、技术升级与资源配置调整的关键依据，确保运维工具持续贴合业务发展需求，为运维服务的标准化与智能化提供可靠支撑。</w:t>
      </w:r>
    </w:p>
    <w:p w14:paraId="499016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2008"/>
      <w:r>
        <w:rPr>
          <w:rFonts w:hint="eastAsia"/>
          <w:lang w:val="en-US" w:eastAsia="zh-CN"/>
        </w:rPr>
        <w:t>服务台管理计划</w:t>
      </w:r>
      <w:bookmarkEnd w:id="29"/>
    </w:p>
    <w:p w14:paraId="28563DBC">
      <w:pPr>
        <w:pStyle w:val="29"/>
        <w:bidi w:val="0"/>
        <w:rPr>
          <w:rFonts w:hint="eastAsia"/>
          <w:lang w:val="en-US" w:eastAsia="zh-CN"/>
        </w:rPr>
      </w:pPr>
      <w:r>
        <w:t>为构建统一、高效、专业的服务接入与响应枢纽，公司已建立并持续优化服务台管理体系。本体系以服务台派单成功率为核心效能指标，要求该指标月度达成率不低于90%，以此确保客户请求能被准确识别、快速分派与有效闭环。数智运营部作为服务台的日常运营负责部门，需保障服务流程的规范执行与人员能力的持续提升；质量管理部则按月统计并分析该指标的达成情况，将评估结果直接纳入服务台团队及人员的绩效考核体系，并与流程优化、培训规划联动，形成“运营—监控—改进”的管理闭环，从而系统性提升服务响应质量、客户满意度与内部协作效率。</w:t>
      </w:r>
    </w:p>
    <w:p w14:paraId="30263B5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20329"/>
      <w:r>
        <w:rPr>
          <w:rFonts w:hint="eastAsia"/>
          <w:lang w:val="en-US" w:eastAsia="zh-CN"/>
        </w:rPr>
        <w:t>服务知识管理计划</w:t>
      </w:r>
      <w:bookmarkEnd w:id="30"/>
    </w:p>
    <w:p w14:paraId="1E5F9060">
      <w:pPr>
        <w:pStyle w:val="29"/>
        <w:bidi w:val="0"/>
        <w:rPr>
          <w:rFonts w:hint="eastAsia"/>
          <w:lang w:val="en-US" w:eastAsia="zh-CN"/>
        </w:rPr>
      </w:pPr>
      <w:r>
        <w:t>为推动运维知识的有效沉淀、共享与复用，构建组织级的学习与赋能体系，公司已建立服务知识管理制度。该制度以</w:t>
      </w:r>
      <w:r>
        <w:rPr>
          <w:rFonts w:hint="eastAsia"/>
          <w:lang w:eastAsia="zh-CN"/>
        </w:rPr>
        <w:t>“</w:t>
      </w:r>
      <w:r>
        <w:t>新增知识条目</w:t>
      </w:r>
      <w:r>
        <w:rPr>
          <w:rFonts w:hint="eastAsia"/>
          <w:lang w:eastAsia="zh-CN"/>
        </w:rPr>
        <w:t>”</w:t>
      </w:r>
      <w:r>
        <w:t>作为核心衡量指标，</w:t>
      </w:r>
      <w:r>
        <w:rPr>
          <w:rFonts w:hint="eastAsia"/>
          <w:lang w:val="en-US" w:eastAsia="zh-CN"/>
        </w:rPr>
        <w:t>要求</w:t>
      </w:r>
      <w:r>
        <w:t>季度</w:t>
      </w:r>
      <w:r>
        <w:rPr>
          <w:rFonts w:hint="eastAsia"/>
          <w:lang w:val="en-US" w:eastAsia="zh-CN"/>
        </w:rPr>
        <w:t>新增知识条目</w:t>
      </w:r>
      <w:r>
        <w:t>不少于10条的目标值，旨在确保知识资产的活跃度与持续丰富。服务台团队负责知识的日常采集、结构化录入与应用推广，数智运营部则负责知识体系的维护与分类优化。质量管理部将按月、按季度对上述指标进行统计与分析，评估结果与服务台团队绩效考核挂钩，并作为知识管理机制优化、培训内容开发及问题解决能力提升的重要依据，从而形成知识积累与业务增效相互促进的良性循环。</w:t>
      </w:r>
    </w:p>
    <w:p w14:paraId="19E59A2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5848"/>
      <w:r>
        <w:rPr>
          <w:rFonts w:hint="eastAsia"/>
          <w:lang w:val="en-US" w:eastAsia="zh-CN"/>
        </w:rPr>
        <w:t>最终软件库管理计划</w:t>
      </w:r>
      <w:bookmarkEnd w:id="31"/>
    </w:p>
    <w:p w14:paraId="09700F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软件资产的一致性、合规性与可追溯性，公司建立了最终软件库管理体系。该体系以“软件合规性审计次数”为核心管控指标，要求每半年至少完成1次全面审计，确保软件版本的合规使用与统一管理。研究总院作为责任部门，负责软件库的版本控制、入库审核与日常维护工作，确保软件资产信息的准确性与完整性。质量管理部依据审计结果进行评估，其结果将作为发布管理流程优化、软件治理策略调整以及供应商合规管理的重要依据。通过持续的审计与改进，本体系致力于降低软件部署风险、提升系统稳定性，并为运维服务的可靠交付提供坚实的软件资产基础。</w:t>
      </w:r>
    </w:p>
    <w:p w14:paraId="5EEF6B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025"/>
      <w:r>
        <w:rPr>
          <w:rFonts w:hint="eastAsia"/>
          <w:lang w:val="en-US" w:eastAsia="zh-CN"/>
        </w:rPr>
        <w:t>服务数据管理计划</w:t>
      </w:r>
      <w:bookmarkEnd w:id="32"/>
    </w:p>
    <w:p w14:paraId="2DE941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为充分发挥服务数据的决策支持与过程优化价值，公司建立了服务数据管理体系。该体系以“服务数据分析利用次数”为核心效能指标，要求每季度至少完成</w:t>
      </w:r>
      <w:r>
        <w:rPr>
          <w:rFonts w:hint="eastAsia"/>
          <w:lang w:val="en-US" w:eastAsia="zh-CN"/>
        </w:rPr>
        <w:t>1</w:t>
      </w:r>
      <w:r>
        <w:rPr>
          <w:rFonts w:hint="default"/>
          <w:lang w:val="en-US" w:eastAsia="zh-CN"/>
        </w:rPr>
        <w:t>次深度数据分析与业务应用，确保数据从采集到价值转化的闭环管理。数智运营部负责服务数据的规范录入、整合维护与分析建模，形成可供业务洞察的数据资产。质量管理部按季度对数据分析成果的应用成效进行评估，其结果将纳入运维团队绩效考核，并作为数据治理策略优化、服务质量改进及管理决策科学化的重要依据，推动公司从数据支撑向数据驱动服务升级的系统性转变。</w:t>
      </w:r>
    </w:p>
    <w:p w14:paraId="699E45C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14236"/>
      <w:r>
        <w:rPr>
          <w:rFonts w:hint="eastAsia"/>
          <w:lang w:val="en-US" w:eastAsia="zh-CN"/>
        </w:rPr>
        <w:t>技术管理计划</w:t>
      </w:r>
      <w:bookmarkEnd w:id="33"/>
    </w:p>
    <w:p w14:paraId="18B172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聚焦于构建智能化、体系化的运维技术能力，重点推进三个核心方向：一是开发智能公告中心与实时满意度分析模块，以提升管理信息传达效率与服务体验感知能力；二是开展运维手册标准化研发与知识库功能强化，促进运维知识的系统化沉淀与场景化复用；三是启动智能运维（AIOps）与流程自动化等新技术的探索性研究，为服务模式的创新演进进行前瞻性技术储备。通过上述工作的协同开展，旨在为运维服务向数字化、智能化转型提供坚实的技术支撑。</w:t>
      </w:r>
    </w:p>
    <w:p w14:paraId="10D91D2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1712"/>
      <w:r>
        <w:rPr>
          <w:rFonts w:hint="eastAsia"/>
          <w:lang w:val="en-US" w:eastAsia="zh-CN"/>
        </w:rPr>
        <w:t>运维工具二次开发</w:t>
      </w:r>
      <w:bookmarkEnd w:id="34"/>
    </w:p>
    <w:p w14:paraId="1ECB8F3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研发进度表</w:t>
      </w:r>
    </w:p>
    <w:tbl>
      <w:tblPr>
        <w:tblStyle w:val="20"/>
        <w:tblW w:w="85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213"/>
        <w:gridCol w:w="1443"/>
        <w:gridCol w:w="4849"/>
      </w:tblGrid>
      <w:tr w14:paraId="4718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2213" w:type="dxa"/>
            <w:shd w:val="clear" w:color="auto" w:fill="auto"/>
            <w:tcMar>
              <w:top w:w="120" w:type="dxa"/>
              <w:left w:w="0" w:type="dxa"/>
              <w:bottom w:w="120" w:type="dxa"/>
              <w:right w:w="192" w:type="dxa"/>
            </w:tcMar>
            <w:vAlign w:val="center"/>
          </w:tcPr>
          <w:p w14:paraId="608AEC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研发阶段</w:t>
            </w:r>
          </w:p>
        </w:tc>
        <w:tc>
          <w:tcPr>
            <w:tcW w:w="1443" w:type="dxa"/>
            <w:shd w:val="clear" w:color="auto" w:fill="auto"/>
            <w:tcMar>
              <w:top w:w="120" w:type="dxa"/>
              <w:left w:w="192" w:type="dxa"/>
              <w:bottom w:w="120" w:type="dxa"/>
              <w:right w:w="192" w:type="dxa"/>
            </w:tcMar>
            <w:vAlign w:val="center"/>
          </w:tcPr>
          <w:p w14:paraId="3C56D1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计划时间</w:t>
            </w:r>
          </w:p>
        </w:tc>
        <w:tc>
          <w:tcPr>
            <w:tcW w:w="4849" w:type="dxa"/>
            <w:shd w:val="clear" w:color="auto" w:fill="auto"/>
            <w:tcMar>
              <w:top w:w="120" w:type="dxa"/>
              <w:left w:w="192" w:type="dxa"/>
              <w:bottom w:w="120" w:type="dxa"/>
              <w:right w:w="192" w:type="dxa"/>
            </w:tcMar>
            <w:vAlign w:val="center"/>
          </w:tcPr>
          <w:p w14:paraId="13A442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主要工作内容</w:t>
            </w:r>
          </w:p>
        </w:tc>
      </w:tr>
      <w:tr w14:paraId="5427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40B443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需求分析与设计</w:t>
            </w:r>
          </w:p>
        </w:tc>
        <w:tc>
          <w:tcPr>
            <w:tcW w:w="1443" w:type="dxa"/>
            <w:shd w:val="clear" w:color="auto" w:fill="auto"/>
            <w:tcMar>
              <w:top w:w="120" w:type="dxa"/>
              <w:left w:w="192" w:type="dxa"/>
              <w:bottom w:w="120" w:type="dxa"/>
              <w:right w:w="192" w:type="dxa"/>
            </w:tcMar>
            <w:vAlign w:val="center"/>
          </w:tcPr>
          <w:p w14:paraId="2066AF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2025年Q1</w:t>
            </w:r>
          </w:p>
        </w:tc>
        <w:tc>
          <w:tcPr>
            <w:tcW w:w="4849" w:type="dxa"/>
            <w:shd w:val="clear" w:color="auto" w:fill="auto"/>
            <w:tcMar>
              <w:top w:w="120" w:type="dxa"/>
              <w:left w:w="192" w:type="dxa"/>
              <w:bottom w:w="120" w:type="dxa"/>
              <w:right w:w="0" w:type="dxa"/>
            </w:tcMar>
            <w:vAlign w:val="center"/>
          </w:tcPr>
          <w:p w14:paraId="2C6A2E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完成业务调研、产品原型设计、技术方案评审</w:t>
            </w:r>
          </w:p>
        </w:tc>
      </w:tr>
      <w:tr w14:paraId="6EE47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512BAE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核心模块开发</w:t>
            </w:r>
          </w:p>
        </w:tc>
        <w:tc>
          <w:tcPr>
            <w:tcW w:w="1443" w:type="dxa"/>
            <w:shd w:val="clear" w:color="auto" w:fill="auto"/>
            <w:tcMar>
              <w:top w:w="120" w:type="dxa"/>
              <w:left w:w="192" w:type="dxa"/>
              <w:bottom w:w="120" w:type="dxa"/>
              <w:right w:w="192" w:type="dxa"/>
            </w:tcMar>
            <w:vAlign w:val="center"/>
          </w:tcPr>
          <w:p w14:paraId="7B4E90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2025年Q2</w:t>
            </w:r>
          </w:p>
        </w:tc>
        <w:tc>
          <w:tcPr>
            <w:tcW w:w="4849" w:type="dxa"/>
            <w:shd w:val="clear" w:color="auto" w:fill="auto"/>
            <w:tcMar>
              <w:top w:w="120" w:type="dxa"/>
              <w:left w:w="192" w:type="dxa"/>
              <w:bottom w:w="120" w:type="dxa"/>
              <w:right w:w="0" w:type="dxa"/>
            </w:tcMar>
            <w:vAlign w:val="center"/>
          </w:tcPr>
          <w:p w14:paraId="630596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完成智能公告中心、实时满意度反馈模块开发</w:t>
            </w:r>
          </w:p>
        </w:tc>
      </w:tr>
      <w:tr w14:paraId="65F61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567499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数据分析与报表开发</w:t>
            </w:r>
          </w:p>
        </w:tc>
        <w:tc>
          <w:tcPr>
            <w:tcW w:w="1443" w:type="dxa"/>
            <w:shd w:val="clear" w:color="auto" w:fill="auto"/>
            <w:tcMar>
              <w:top w:w="120" w:type="dxa"/>
              <w:left w:w="192" w:type="dxa"/>
              <w:bottom w:w="120" w:type="dxa"/>
              <w:right w:w="192" w:type="dxa"/>
            </w:tcMar>
            <w:vAlign w:val="center"/>
          </w:tcPr>
          <w:p w14:paraId="160DBD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c>
          <w:tcPr>
            <w:tcW w:w="4849" w:type="dxa"/>
            <w:shd w:val="clear" w:color="auto" w:fill="auto"/>
            <w:tcMar>
              <w:top w:w="120" w:type="dxa"/>
              <w:left w:w="192" w:type="dxa"/>
              <w:bottom w:w="120" w:type="dxa"/>
              <w:right w:w="0" w:type="dxa"/>
            </w:tcMar>
            <w:vAlign w:val="center"/>
          </w:tcPr>
          <w:p w14:paraId="229F24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完成数据分析模型、可视化报表及预警功能开发</w:t>
            </w:r>
          </w:p>
        </w:tc>
      </w:tr>
      <w:tr w14:paraId="72A18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13FB03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集成测试与优化</w:t>
            </w:r>
          </w:p>
        </w:tc>
        <w:tc>
          <w:tcPr>
            <w:tcW w:w="1443" w:type="dxa"/>
            <w:shd w:val="clear" w:color="auto" w:fill="auto"/>
            <w:tcMar>
              <w:top w:w="120" w:type="dxa"/>
              <w:left w:w="192" w:type="dxa"/>
              <w:bottom w:w="120" w:type="dxa"/>
              <w:right w:w="192" w:type="dxa"/>
            </w:tcMar>
            <w:vAlign w:val="center"/>
          </w:tcPr>
          <w:p w14:paraId="522F41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146CD6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进行系统集成测试、性能测试及用户体验优化</w:t>
            </w:r>
          </w:p>
        </w:tc>
      </w:tr>
      <w:tr w14:paraId="479D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236D6D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试点运行</w:t>
            </w:r>
          </w:p>
        </w:tc>
        <w:tc>
          <w:tcPr>
            <w:tcW w:w="1443" w:type="dxa"/>
            <w:shd w:val="clear" w:color="auto" w:fill="auto"/>
            <w:tcMar>
              <w:top w:w="120" w:type="dxa"/>
              <w:left w:w="192" w:type="dxa"/>
              <w:bottom w:w="120" w:type="dxa"/>
              <w:right w:w="192" w:type="dxa"/>
            </w:tcMar>
            <w:vAlign w:val="center"/>
          </w:tcPr>
          <w:p w14:paraId="1BAA68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4AEBCB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在选定项目试点，准备全面推广</w:t>
            </w:r>
          </w:p>
        </w:tc>
      </w:tr>
    </w:tbl>
    <w:p w14:paraId="595FB8A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4333"/>
      <w:r>
        <w:rPr>
          <w:rFonts w:hint="eastAsia"/>
          <w:lang w:val="en-US" w:eastAsia="zh-CN"/>
        </w:rPr>
        <w:t>运维手册研发</w:t>
      </w:r>
      <w:bookmarkEnd w:id="35"/>
    </w:p>
    <w:p w14:paraId="2159D55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运维手册研发计划表</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4608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6E016A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编号</w:t>
            </w:r>
          </w:p>
        </w:tc>
        <w:tc>
          <w:tcPr>
            <w:tcW w:w="1562" w:type="dxa"/>
            <w:shd w:val="clear" w:color="auto" w:fill="auto"/>
            <w:tcMar>
              <w:top w:w="120" w:type="dxa"/>
              <w:left w:w="192" w:type="dxa"/>
              <w:bottom w:w="120" w:type="dxa"/>
              <w:right w:w="192" w:type="dxa"/>
            </w:tcMar>
            <w:vAlign w:val="center"/>
          </w:tcPr>
          <w:p w14:paraId="5D09F8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手册类别</w:t>
            </w:r>
          </w:p>
        </w:tc>
        <w:tc>
          <w:tcPr>
            <w:tcW w:w="1665" w:type="dxa"/>
            <w:shd w:val="clear" w:color="auto" w:fill="auto"/>
            <w:tcMar>
              <w:top w:w="120" w:type="dxa"/>
              <w:left w:w="192" w:type="dxa"/>
              <w:bottom w:w="120" w:type="dxa"/>
              <w:right w:w="192" w:type="dxa"/>
            </w:tcMar>
            <w:vAlign w:val="center"/>
          </w:tcPr>
          <w:p w14:paraId="25DF3A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手册名称（示例）</w:t>
            </w:r>
          </w:p>
        </w:tc>
        <w:tc>
          <w:tcPr>
            <w:tcW w:w="2831" w:type="dxa"/>
            <w:shd w:val="clear" w:color="auto" w:fill="auto"/>
            <w:tcMar>
              <w:top w:w="120" w:type="dxa"/>
              <w:left w:w="192" w:type="dxa"/>
              <w:bottom w:w="120" w:type="dxa"/>
              <w:right w:w="192" w:type="dxa"/>
            </w:tcMar>
            <w:vAlign w:val="center"/>
          </w:tcPr>
          <w:p w14:paraId="4BA835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主要内容</w:t>
            </w:r>
          </w:p>
        </w:tc>
        <w:tc>
          <w:tcPr>
            <w:tcW w:w="908" w:type="dxa"/>
            <w:shd w:val="clear" w:color="auto" w:fill="auto"/>
            <w:tcMar>
              <w:top w:w="120" w:type="dxa"/>
              <w:left w:w="192" w:type="dxa"/>
              <w:bottom w:w="120" w:type="dxa"/>
              <w:right w:w="192" w:type="dxa"/>
            </w:tcMar>
            <w:vAlign w:val="center"/>
          </w:tcPr>
          <w:p w14:paraId="7E9BD0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责任部门</w:t>
            </w:r>
          </w:p>
        </w:tc>
        <w:tc>
          <w:tcPr>
            <w:tcW w:w="1003" w:type="dxa"/>
            <w:shd w:val="clear" w:color="auto" w:fill="auto"/>
            <w:tcMar>
              <w:top w:w="120" w:type="dxa"/>
              <w:left w:w="192" w:type="dxa"/>
              <w:bottom w:w="120" w:type="dxa"/>
              <w:right w:w="192" w:type="dxa"/>
            </w:tcMar>
            <w:vAlign w:val="center"/>
          </w:tcPr>
          <w:p w14:paraId="52EBFA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计划完成时间</w:t>
            </w:r>
          </w:p>
        </w:tc>
      </w:tr>
      <w:tr w14:paraId="38514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1C3302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w:t>
            </w:r>
          </w:p>
        </w:tc>
        <w:tc>
          <w:tcPr>
            <w:tcW w:w="1562" w:type="dxa"/>
            <w:shd w:val="clear" w:color="auto" w:fill="auto"/>
            <w:tcMar>
              <w:top w:w="120" w:type="dxa"/>
              <w:left w:w="192" w:type="dxa"/>
              <w:bottom w:w="120" w:type="dxa"/>
              <w:right w:w="192" w:type="dxa"/>
            </w:tcMar>
            <w:vAlign w:val="center"/>
          </w:tcPr>
          <w:p w14:paraId="120ADB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专项系统操作类</w:t>
            </w:r>
          </w:p>
        </w:tc>
        <w:tc>
          <w:tcPr>
            <w:tcW w:w="1665" w:type="dxa"/>
            <w:shd w:val="clear" w:color="auto" w:fill="auto"/>
            <w:tcMar>
              <w:top w:w="120" w:type="dxa"/>
              <w:left w:w="192" w:type="dxa"/>
              <w:bottom w:w="120" w:type="dxa"/>
              <w:right w:w="192" w:type="dxa"/>
            </w:tcMar>
            <w:vAlign w:val="center"/>
          </w:tcPr>
          <w:p w14:paraId="101626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《财务机器人系列运维手册》</w:t>
            </w:r>
          </w:p>
        </w:tc>
        <w:tc>
          <w:tcPr>
            <w:tcW w:w="2831" w:type="dxa"/>
            <w:shd w:val="clear" w:color="auto" w:fill="auto"/>
            <w:tcMar>
              <w:top w:w="120" w:type="dxa"/>
              <w:left w:w="192" w:type="dxa"/>
              <w:bottom w:w="120" w:type="dxa"/>
              <w:right w:w="192" w:type="dxa"/>
            </w:tcMar>
            <w:vAlign w:val="center"/>
          </w:tcPr>
          <w:p w14:paraId="1BC705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涵盖往来核销、报表自动化等各财务机器人的部署、配置、日常操作、监控及常见故障处理指南。</w:t>
            </w:r>
          </w:p>
        </w:tc>
        <w:tc>
          <w:tcPr>
            <w:tcW w:w="908" w:type="dxa"/>
            <w:shd w:val="clear" w:color="auto" w:fill="auto"/>
            <w:tcMar>
              <w:top w:w="120" w:type="dxa"/>
              <w:left w:w="192" w:type="dxa"/>
              <w:bottom w:w="120" w:type="dxa"/>
              <w:right w:w="192" w:type="dxa"/>
            </w:tcMar>
            <w:vAlign w:val="center"/>
          </w:tcPr>
          <w:p w14:paraId="341384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数智运营部、研究总院</w:t>
            </w:r>
          </w:p>
        </w:tc>
        <w:tc>
          <w:tcPr>
            <w:tcW w:w="1003" w:type="dxa"/>
            <w:shd w:val="clear" w:color="auto" w:fill="auto"/>
            <w:tcMar>
              <w:top w:w="120" w:type="dxa"/>
              <w:left w:w="192" w:type="dxa"/>
              <w:bottom w:w="120" w:type="dxa"/>
              <w:right w:w="0" w:type="dxa"/>
            </w:tcMar>
            <w:vAlign w:val="center"/>
          </w:tcPr>
          <w:p w14:paraId="57F163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r>
      <w:tr w14:paraId="6A0B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2A44F6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w:t>
            </w:r>
          </w:p>
        </w:tc>
        <w:tc>
          <w:tcPr>
            <w:tcW w:w="1562" w:type="dxa"/>
            <w:shd w:val="clear" w:color="auto" w:fill="auto"/>
            <w:tcMar>
              <w:top w:w="120" w:type="dxa"/>
              <w:left w:w="192" w:type="dxa"/>
              <w:bottom w:w="120" w:type="dxa"/>
              <w:right w:w="192" w:type="dxa"/>
            </w:tcMar>
            <w:vAlign w:val="center"/>
          </w:tcPr>
          <w:p w14:paraId="6C26C0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基础平台安全类</w:t>
            </w:r>
          </w:p>
        </w:tc>
        <w:tc>
          <w:tcPr>
            <w:tcW w:w="1665" w:type="dxa"/>
            <w:shd w:val="clear" w:color="auto" w:fill="auto"/>
            <w:tcMar>
              <w:top w:w="120" w:type="dxa"/>
              <w:left w:w="192" w:type="dxa"/>
              <w:bottom w:w="120" w:type="dxa"/>
              <w:right w:w="192" w:type="dxa"/>
            </w:tcMar>
            <w:vAlign w:val="center"/>
          </w:tcPr>
          <w:p w14:paraId="42129F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《零信任安全接入平台运维手册》</w:t>
            </w:r>
          </w:p>
        </w:tc>
        <w:tc>
          <w:tcPr>
            <w:tcW w:w="2831" w:type="dxa"/>
            <w:shd w:val="clear" w:color="auto" w:fill="auto"/>
            <w:tcMar>
              <w:top w:w="120" w:type="dxa"/>
              <w:left w:w="192" w:type="dxa"/>
              <w:bottom w:w="120" w:type="dxa"/>
              <w:right w:w="192" w:type="dxa"/>
            </w:tcMar>
            <w:vAlign w:val="center"/>
          </w:tcPr>
          <w:p w14:paraId="0149B0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包含客户端的部署与升级、日常登录认证问题排查、策略验证、与各业务系统的对接配置说明及应急处理流程。</w:t>
            </w:r>
          </w:p>
        </w:tc>
        <w:tc>
          <w:tcPr>
            <w:tcW w:w="908" w:type="dxa"/>
            <w:shd w:val="clear" w:color="auto" w:fill="auto"/>
            <w:tcMar>
              <w:top w:w="120" w:type="dxa"/>
              <w:left w:w="192" w:type="dxa"/>
              <w:bottom w:w="120" w:type="dxa"/>
              <w:right w:w="192" w:type="dxa"/>
            </w:tcMar>
            <w:vAlign w:val="center"/>
          </w:tcPr>
          <w:p w14:paraId="54DD4D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数智运营部、研究总院</w:t>
            </w:r>
          </w:p>
        </w:tc>
        <w:tc>
          <w:tcPr>
            <w:tcW w:w="1003" w:type="dxa"/>
            <w:shd w:val="clear" w:color="auto" w:fill="auto"/>
            <w:tcMar>
              <w:top w:w="120" w:type="dxa"/>
              <w:left w:w="192" w:type="dxa"/>
              <w:bottom w:w="120" w:type="dxa"/>
              <w:right w:w="0" w:type="dxa"/>
            </w:tcMar>
            <w:vAlign w:val="center"/>
          </w:tcPr>
          <w:p w14:paraId="0BD24B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r>
    </w:tbl>
    <w:p w14:paraId="0154C59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4324"/>
      <w:r>
        <w:rPr>
          <w:rFonts w:hint="eastAsia"/>
          <w:lang w:val="en-US" w:eastAsia="zh-CN"/>
        </w:rPr>
        <w:t>研发团队构成</w:t>
      </w:r>
      <w:bookmarkEnd w:id="36"/>
    </w:p>
    <w:p w14:paraId="3EBDF293">
      <w:pPr>
        <w:pStyle w:val="29"/>
        <w:rPr>
          <w:rFonts w:hint="eastAsia"/>
          <w:lang w:val="en-US" w:eastAsia="zh-CN"/>
        </w:rPr>
      </w:pPr>
      <w:r>
        <w:rPr>
          <w:rFonts w:hint="eastAsia"/>
          <w:lang w:val="en-US" w:eastAsia="zh-CN"/>
        </w:rPr>
        <w:t>根据公司发展需要，运维工具研发团队人员配置信息如表3-3所示</w:t>
      </w:r>
    </w:p>
    <w:p w14:paraId="0ECEEF4F">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人员配置表</w:t>
      </w:r>
    </w:p>
    <w:tbl>
      <w:tblPr>
        <w:tblStyle w:val="20"/>
        <w:tblW w:w="85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213"/>
        <w:gridCol w:w="1443"/>
        <w:gridCol w:w="4849"/>
      </w:tblGrid>
      <w:tr w14:paraId="4872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2213" w:type="dxa"/>
            <w:shd w:val="clear" w:color="auto" w:fill="auto"/>
            <w:tcMar>
              <w:top w:w="120" w:type="dxa"/>
              <w:left w:w="0" w:type="dxa"/>
              <w:bottom w:w="120" w:type="dxa"/>
              <w:right w:w="192" w:type="dxa"/>
            </w:tcMar>
            <w:vAlign w:val="center"/>
          </w:tcPr>
          <w:p w14:paraId="0ACC56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研发阶段</w:t>
            </w:r>
          </w:p>
        </w:tc>
        <w:tc>
          <w:tcPr>
            <w:tcW w:w="1443" w:type="dxa"/>
            <w:shd w:val="clear" w:color="auto" w:fill="auto"/>
            <w:tcMar>
              <w:top w:w="120" w:type="dxa"/>
              <w:left w:w="192" w:type="dxa"/>
              <w:bottom w:w="120" w:type="dxa"/>
              <w:right w:w="192" w:type="dxa"/>
            </w:tcMar>
            <w:vAlign w:val="center"/>
          </w:tcPr>
          <w:p w14:paraId="5834E5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计划时间</w:t>
            </w:r>
          </w:p>
        </w:tc>
        <w:tc>
          <w:tcPr>
            <w:tcW w:w="4849" w:type="dxa"/>
            <w:shd w:val="clear" w:color="auto" w:fill="auto"/>
            <w:tcMar>
              <w:top w:w="120" w:type="dxa"/>
              <w:left w:w="192" w:type="dxa"/>
              <w:bottom w:w="120" w:type="dxa"/>
              <w:right w:w="192" w:type="dxa"/>
            </w:tcMar>
            <w:vAlign w:val="center"/>
          </w:tcPr>
          <w:p w14:paraId="71E599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主要工作内容</w:t>
            </w:r>
          </w:p>
        </w:tc>
      </w:tr>
      <w:tr w14:paraId="628C6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4033AE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需求分析与设计</w:t>
            </w:r>
          </w:p>
        </w:tc>
        <w:tc>
          <w:tcPr>
            <w:tcW w:w="1443" w:type="dxa"/>
            <w:shd w:val="clear" w:color="auto" w:fill="auto"/>
            <w:tcMar>
              <w:top w:w="120" w:type="dxa"/>
              <w:left w:w="192" w:type="dxa"/>
              <w:bottom w:w="120" w:type="dxa"/>
              <w:right w:w="192" w:type="dxa"/>
            </w:tcMar>
            <w:vAlign w:val="center"/>
          </w:tcPr>
          <w:p w14:paraId="3EC72B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2025年Q1</w:t>
            </w:r>
          </w:p>
        </w:tc>
        <w:tc>
          <w:tcPr>
            <w:tcW w:w="4849" w:type="dxa"/>
            <w:shd w:val="clear" w:color="auto" w:fill="auto"/>
            <w:tcMar>
              <w:top w:w="120" w:type="dxa"/>
              <w:left w:w="192" w:type="dxa"/>
              <w:bottom w:w="120" w:type="dxa"/>
              <w:right w:w="0" w:type="dxa"/>
            </w:tcMar>
            <w:vAlign w:val="center"/>
          </w:tcPr>
          <w:p w14:paraId="42CF57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完成业务调研、产品原型设计、技术方案评审</w:t>
            </w:r>
          </w:p>
        </w:tc>
      </w:tr>
      <w:tr w14:paraId="15717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77EECD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核心模块开发</w:t>
            </w:r>
          </w:p>
        </w:tc>
        <w:tc>
          <w:tcPr>
            <w:tcW w:w="1443" w:type="dxa"/>
            <w:shd w:val="clear" w:color="auto" w:fill="auto"/>
            <w:tcMar>
              <w:top w:w="120" w:type="dxa"/>
              <w:left w:w="192" w:type="dxa"/>
              <w:bottom w:w="120" w:type="dxa"/>
              <w:right w:w="192" w:type="dxa"/>
            </w:tcMar>
            <w:vAlign w:val="center"/>
          </w:tcPr>
          <w:p w14:paraId="606E25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2025年Q2</w:t>
            </w:r>
          </w:p>
        </w:tc>
        <w:tc>
          <w:tcPr>
            <w:tcW w:w="4849" w:type="dxa"/>
            <w:shd w:val="clear" w:color="auto" w:fill="auto"/>
            <w:tcMar>
              <w:top w:w="120" w:type="dxa"/>
              <w:left w:w="192" w:type="dxa"/>
              <w:bottom w:w="120" w:type="dxa"/>
              <w:right w:w="0" w:type="dxa"/>
            </w:tcMar>
            <w:vAlign w:val="center"/>
          </w:tcPr>
          <w:p w14:paraId="0B75AB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完成智能公告中心、实时满意度反馈模块开发</w:t>
            </w:r>
          </w:p>
        </w:tc>
      </w:tr>
      <w:tr w14:paraId="7ECC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2F6102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数据分析与报表开发</w:t>
            </w:r>
          </w:p>
        </w:tc>
        <w:tc>
          <w:tcPr>
            <w:tcW w:w="1443" w:type="dxa"/>
            <w:shd w:val="clear" w:color="auto" w:fill="auto"/>
            <w:tcMar>
              <w:top w:w="120" w:type="dxa"/>
              <w:left w:w="192" w:type="dxa"/>
              <w:bottom w:w="120" w:type="dxa"/>
              <w:right w:w="192" w:type="dxa"/>
            </w:tcMar>
            <w:vAlign w:val="center"/>
          </w:tcPr>
          <w:p w14:paraId="037970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c>
          <w:tcPr>
            <w:tcW w:w="4849" w:type="dxa"/>
            <w:shd w:val="clear" w:color="auto" w:fill="auto"/>
            <w:tcMar>
              <w:top w:w="120" w:type="dxa"/>
              <w:left w:w="192" w:type="dxa"/>
              <w:bottom w:w="120" w:type="dxa"/>
              <w:right w:w="0" w:type="dxa"/>
            </w:tcMar>
            <w:vAlign w:val="center"/>
          </w:tcPr>
          <w:p w14:paraId="699573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完成数据分析模型、可视化报表及预警功能开发</w:t>
            </w:r>
          </w:p>
        </w:tc>
      </w:tr>
      <w:tr w14:paraId="6BE7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3B886C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集成测试与优化</w:t>
            </w:r>
          </w:p>
        </w:tc>
        <w:tc>
          <w:tcPr>
            <w:tcW w:w="1443" w:type="dxa"/>
            <w:shd w:val="clear" w:color="auto" w:fill="auto"/>
            <w:tcMar>
              <w:top w:w="120" w:type="dxa"/>
              <w:left w:w="192" w:type="dxa"/>
              <w:bottom w:w="120" w:type="dxa"/>
              <w:right w:w="192" w:type="dxa"/>
            </w:tcMar>
            <w:vAlign w:val="center"/>
          </w:tcPr>
          <w:p w14:paraId="23D114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5F0E1C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进行系统集成测试、性能测试及用户体验优化</w:t>
            </w:r>
          </w:p>
        </w:tc>
      </w:tr>
      <w:tr w14:paraId="65696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3FCF44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试点运行</w:t>
            </w:r>
          </w:p>
        </w:tc>
        <w:tc>
          <w:tcPr>
            <w:tcW w:w="1443" w:type="dxa"/>
            <w:shd w:val="clear" w:color="auto" w:fill="auto"/>
            <w:tcMar>
              <w:top w:w="120" w:type="dxa"/>
              <w:left w:w="192" w:type="dxa"/>
              <w:bottom w:w="120" w:type="dxa"/>
              <w:right w:w="192" w:type="dxa"/>
            </w:tcMar>
            <w:vAlign w:val="center"/>
          </w:tcPr>
          <w:p w14:paraId="346D28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614141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在选定项目试点，准备全面推广</w:t>
            </w:r>
          </w:p>
        </w:tc>
      </w:tr>
    </w:tbl>
    <w:p w14:paraId="464D89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3686"/>
      <w:r>
        <w:rPr>
          <w:rFonts w:hint="eastAsia"/>
          <w:lang w:val="en-US" w:eastAsia="zh-CN"/>
        </w:rPr>
        <w:t>新技术研发</w:t>
      </w:r>
      <w:bookmarkEnd w:id="37"/>
    </w:p>
    <w:p w14:paraId="40B5C8AF">
      <w:pPr>
        <w:pStyle w:val="29"/>
        <w:rPr>
          <w:rFonts w:hint="default"/>
          <w:lang w:val="en-US" w:eastAsia="zh-CN"/>
        </w:rPr>
      </w:pPr>
      <w:r>
        <w:rPr>
          <w:rFonts w:hint="eastAsia"/>
          <w:lang w:val="en-US" w:eastAsia="zh-CN"/>
        </w:rPr>
        <w:t>在</w:t>
      </w:r>
      <w:r>
        <w:rPr>
          <w:rFonts w:hint="default"/>
          <w:lang w:val="en-US" w:eastAsia="zh-CN"/>
        </w:rPr>
        <w:t>智能运维（AIOps）场景化应用探索</w:t>
      </w:r>
      <w:r>
        <w:rPr>
          <w:rFonts w:hint="eastAsia"/>
          <w:lang w:val="en-US" w:eastAsia="zh-CN"/>
        </w:rPr>
        <w:t>和</w:t>
      </w:r>
      <w:r>
        <w:rPr>
          <w:rFonts w:hint="default"/>
          <w:lang w:val="en-US" w:eastAsia="zh-CN"/>
        </w:rPr>
        <w:t>超自动化流程拓展</w:t>
      </w:r>
      <w:r>
        <w:rPr>
          <w:rFonts w:hint="eastAsia"/>
          <w:lang w:val="en-US" w:eastAsia="zh-CN"/>
        </w:rPr>
        <w:t>两个方向进行研究。实现</w:t>
      </w:r>
      <w:r>
        <w:rPr>
          <w:rFonts w:hint="default"/>
          <w:lang w:val="en-US" w:eastAsia="zh-CN"/>
        </w:rPr>
        <w:t>构建可复用的自动化组件库，降低新自动化场景的构建门槛与周期</w:t>
      </w:r>
    </w:p>
    <w:p w14:paraId="4A17865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2522"/>
      <w:r>
        <w:rPr>
          <w:rFonts w:hint="eastAsia"/>
          <w:lang w:val="en-US" w:eastAsia="zh-CN"/>
        </w:rPr>
        <w:t>运维经费投入</w:t>
      </w:r>
      <w:bookmarkEnd w:id="38"/>
    </w:p>
    <w:p w14:paraId="6C11444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研发经费投入计划表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6CA75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AA54C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1074B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745A8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A3C81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金额（万元）</w:t>
            </w:r>
          </w:p>
        </w:tc>
      </w:tr>
      <w:tr w14:paraId="0D503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63E39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0AF8A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2C944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72EAA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30A07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03470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BA848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ECE3A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E201A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7964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9D389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171ED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A4FCC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D2FC7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bidi="ar"/>
              </w:rPr>
              <w:t>4</w:t>
            </w:r>
          </w:p>
        </w:tc>
      </w:tr>
      <w:tr w14:paraId="1FDE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FF4AE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96E1B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C774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459E0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bidi="ar"/>
              </w:rPr>
              <w:t>4</w:t>
            </w:r>
          </w:p>
        </w:tc>
      </w:tr>
      <w:tr w14:paraId="0983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A9641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60332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8FBCD6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58112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6684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55C7B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DBB60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BEBAE4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0AE1B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6438C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56DFA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43994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eastAsia" w:ascii="Segoe UI" w:hAnsi="Segoe UI" w:eastAsia="Segoe UI" w:cs="Segoe UI"/>
                <w:b/>
                <w:bCs/>
                <w:i w:val="0"/>
                <w:iCs w:val="0"/>
                <w:caps w:val="0"/>
                <w:snapToGrid w:val="0"/>
                <w:color w:val="000000"/>
                <w:spacing w:val="0"/>
                <w:kern w:val="0"/>
                <w:sz w:val="18"/>
                <w:szCs w:val="18"/>
                <w:lang w:val="en-US" w:eastAsia="zh-CN" w:bidi="ar"/>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A68E20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Segoe UI" w:cs="Segoe UI"/>
                <w:i w:val="0"/>
                <w:iCs w:val="0"/>
                <w:caps w:val="0"/>
                <w:color w:val="0F1115"/>
                <w:spacing w:val="0"/>
                <w:sz w:val="18"/>
                <w:szCs w:val="18"/>
              </w:rPr>
            </w:pP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75284E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384BF4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9616"/>
      <w:r>
        <w:rPr>
          <w:rFonts w:hint="eastAsia"/>
          <w:lang w:val="en-US" w:eastAsia="zh-CN"/>
        </w:rPr>
        <w:t>过程管理计划</w:t>
      </w:r>
      <w:bookmarkEnd w:id="39"/>
    </w:p>
    <w:p w14:paraId="3940953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26967"/>
      <w:r>
        <w:rPr>
          <w:rFonts w:hint="eastAsia"/>
          <w:lang w:val="en-US" w:eastAsia="zh-CN"/>
        </w:rPr>
        <w:t>过程框架管理计划</w:t>
      </w:r>
      <w:bookmarkEnd w:id="40"/>
    </w:p>
    <w:p w14:paraId="03A5A55B">
      <w:pPr>
        <w:pStyle w:val="29"/>
        <w:bidi w:val="0"/>
        <w:rPr>
          <w:rFonts w:hint="eastAsia"/>
          <w:lang w:val="en-US" w:eastAsia="zh-CN"/>
        </w:rPr>
      </w:pPr>
      <w:r>
        <w:t>为确保公司运维服务过程体系科学、规范且持续改进，依据运维服务能力管理指标体系相关要求，特制定过程框架管理计划。本计划聚焦于过程框架的系统化设计与定期评估，明确要求年度过程框架自评估执行次数不少于1次，由数智运营部负责牵头组织落实。通过持续开展过程成熟度评估与框架优化，推动服务管理流程与业务目标动态对齐，实现运维服务过程的标准化、可视化与闭环管理，为服务能力的体系化建设与可持续发展提供坚实的流程保障。</w:t>
      </w:r>
    </w:p>
    <w:p w14:paraId="41BA65F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29847"/>
      <w:r>
        <w:rPr>
          <w:rFonts w:hint="eastAsia"/>
          <w:lang w:val="en-US" w:eastAsia="zh-CN"/>
        </w:rPr>
        <w:t>服务级别管理计划</w:t>
      </w:r>
      <w:bookmarkEnd w:id="41"/>
    </w:p>
    <w:p w14:paraId="2FB83633">
      <w:pPr>
        <w:pStyle w:val="29"/>
        <w:bidi w:val="0"/>
        <w:rPr>
          <w:rFonts w:hint="eastAsia"/>
          <w:lang w:val="en-US" w:eastAsia="zh-CN"/>
        </w:rPr>
      </w:pPr>
      <w:r>
        <w:t>为保障服务交付质量符合客户预期，公司建立了服务级别管理体系，以季度为周期对</w:t>
      </w:r>
      <w:r>
        <w:rPr>
          <w:rFonts w:hint="default"/>
        </w:rPr>
        <w:t>SLA达成率（目标值≥90%）进行考核。数智运营部负责服务级别协议的制定、监控与回顾，通过持续跟踪服务承诺的履行情况，驱动内部运营优化，确保服务交付始终满足或超越约定标准。</w:t>
      </w:r>
    </w:p>
    <w:p w14:paraId="46DB41E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31373"/>
      <w:r>
        <w:rPr>
          <w:rFonts w:hint="eastAsia"/>
          <w:lang w:val="en-US" w:eastAsia="zh-CN"/>
        </w:rPr>
        <w:t>服务报告管理计划</w:t>
      </w:r>
      <w:bookmarkEnd w:id="42"/>
    </w:p>
    <w:p w14:paraId="33A05837">
      <w:pPr>
        <w:pStyle w:val="29"/>
        <w:bidi w:val="0"/>
        <w:rPr>
          <w:rFonts w:hint="eastAsia"/>
          <w:lang w:val="en-US" w:eastAsia="zh-CN"/>
        </w:rPr>
      </w:pPr>
      <w:r>
        <w:t>为建立透明、可追溯的服务沟通机制，公司实施服务报告管理制度，按季度对</w:t>
      </w:r>
      <w:r>
        <w:rPr>
          <w:rFonts w:hint="default"/>
        </w:rPr>
        <w:t>服务报告交付及时率（目标值≥90%）进行考核。数智运营部负责定期编制与提交各类服务报告，质量管理部监督其及时性与质量，确保管理层与客户能够准确、及时地掌握服务绩效与运营状态。</w:t>
      </w:r>
    </w:p>
    <w:p w14:paraId="5A7987E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2095"/>
      <w:r>
        <w:rPr>
          <w:rFonts w:hint="eastAsia"/>
          <w:lang w:val="en-US" w:eastAsia="zh-CN"/>
        </w:rPr>
        <w:t>事件管理计划</w:t>
      </w:r>
      <w:bookmarkEnd w:id="43"/>
    </w:p>
    <w:p w14:paraId="09B76294">
      <w:pPr>
        <w:pStyle w:val="29"/>
        <w:bidi w:val="0"/>
        <w:rPr>
          <w:rFonts w:hint="eastAsia"/>
          <w:lang w:val="en-US" w:eastAsia="zh-CN"/>
        </w:rPr>
      </w:pPr>
      <w:r>
        <w:t>为确保服务中断得到快速恢复，公司建立了标准化事件管理流程。每月考核</w:t>
      </w:r>
      <w:r>
        <w:rPr>
          <w:rFonts w:hint="default"/>
        </w:rPr>
        <w:t>事件解决率（目标值≥90%），每季度考核事件解决用户满意度（目标值≥90%）。数智运营部负责事件的全程跟踪与闭环处理，通过优化响应与解决流程，致力于最小化事件对业务的影响，并持续提升客户体验。</w:t>
      </w:r>
    </w:p>
    <w:p w14:paraId="07E5BE1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1404"/>
      <w:bookmarkStart w:id="45" w:name="_Toc17498"/>
      <w:r>
        <w:rPr>
          <w:rFonts w:hint="eastAsia"/>
          <w:lang w:val="en-US" w:eastAsia="zh-CN"/>
        </w:rPr>
        <w:t>问题管理计划</w:t>
      </w:r>
      <w:bookmarkEnd w:id="44"/>
      <w:bookmarkEnd w:id="45"/>
    </w:p>
    <w:p w14:paraId="5A8C29A6">
      <w:pPr>
        <w:pStyle w:val="29"/>
        <w:bidi w:val="0"/>
        <w:rPr>
          <w:rFonts w:hint="eastAsia"/>
          <w:lang w:val="en-US" w:eastAsia="zh-CN"/>
        </w:rPr>
      </w:pPr>
      <w:r>
        <w:t>为从根源上减少事件复发，公司推行系统性问题管理，每季度对</w:t>
      </w:r>
      <w:r>
        <w:rPr>
          <w:rFonts w:hint="default"/>
        </w:rPr>
        <w:t>问题解决率（目标值≥90%）与问题转知识的比率（目标值≥90%）进行考核。数智运营部负责主导问题根因分析及预防措施的制定与落实，强调将已验证的解决方案转化为知识资产，实现从被动应对到主动预防的转变。</w:t>
      </w:r>
    </w:p>
    <w:p w14:paraId="423B02F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5799"/>
      <w:r>
        <w:rPr>
          <w:rFonts w:hint="eastAsia"/>
          <w:lang w:val="en-US" w:eastAsia="zh-CN"/>
        </w:rPr>
        <w:t>变更管理计划</w:t>
      </w:r>
      <w:bookmarkEnd w:id="46"/>
    </w:p>
    <w:p w14:paraId="5C44A777">
      <w:pPr>
        <w:pStyle w:val="29"/>
        <w:bidi w:val="0"/>
        <w:rPr>
          <w:rFonts w:hint="eastAsia"/>
          <w:lang w:val="en-US" w:eastAsia="zh-CN"/>
        </w:rPr>
      </w:pPr>
      <w:r>
        <w:t>为保障服务变更的风险可控与顺利实施，公司实施严格的变更管理流程，每月对</w:t>
      </w:r>
      <w:r>
        <w:rPr>
          <w:rFonts w:hint="default"/>
        </w:rPr>
        <w:t>变更成功率（目标值≥98%）进行考核。数智运营部负责变更的评审、授权与协调，通过标准化流程与分级审批机制，确保所有变更均经过充分评估与测试，最大限度降低对生产环境稳定性的影响。</w:t>
      </w:r>
    </w:p>
    <w:p w14:paraId="5A7662E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10585"/>
      <w:r>
        <w:rPr>
          <w:rFonts w:hint="eastAsia"/>
          <w:lang w:val="en-US" w:eastAsia="zh-CN"/>
        </w:rPr>
        <w:t>发布管理计划</w:t>
      </w:r>
      <w:bookmarkEnd w:id="47"/>
    </w:p>
    <w:p w14:paraId="09D040ED">
      <w:pPr>
        <w:pStyle w:val="29"/>
        <w:bidi w:val="0"/>
        <w:rPr>
          <w:rFonts w:hint="eastAsia"/>
          <w:lang w:val="en-US" w:eastAsia="zh-CN"/>
        </w:rPr>
      </w:pPr>
      <w:r>
        <w:t>为确保软硬件版本安全、一致地部署至生产环境，公司建立了发布管理制度，每月对</w:t>
      </w:r>
      <w:r>
        <w:rPr>
          <w:rFonts w:hint="default"/>
        </w:rPr>
        <w:t>发布成功率（目标值≥98%）进行考核。数智运营部与研究总院协同负责发布计划、测试与实施，通过严谨的发布窗口管理与回滚预案，保障每一次发布的可靠性与业务连续性。</w:t>
      </w:r>
    </w:p>
    <w:p w14:paraId="1C21D1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22821"/>
      <w:r>
        <w:rPr>
          <w:rFonts w:hint="eastAsia"/>
          <w:lang w:val="en-US" w:eastAsia="zh-CN"/>
        </w:rPr>
        <w:t>配置管理计划</w:t>
      </w:r>
      <w:bookmarkEnd w:id="48"/>
    </w:p>
    <w:p w14:paraId="37466001">
      <w:pPr>
        <w:pStyle w:val="29"/>
        <w:bidi w:val="0"/>
      </w:pPr>
      <w:r>
        <w:rPr>
          <w:rFonts w:hint="default"/>
        </w:rPr>
        <w:t>为确保IT基础设施与组件信息的准确性与一致性，公司实施配置管理，每半年对配置数据的准确率（目标值≥95%）进行考核。数智运营部负责维护配置管理数据库（CMDB），通过定期审计与验证，为事件、问题、变更等管理流程提供可靠的配置信息支撑。</w:t>
      </w:r>
    </w:p>
    <w:p w14:paraId="3023588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17415"/>
      <w:r>
        <w:rPr>
          <w:rFonts w:hint="eastAsia"/>
          <w:lang w:val="en-US" w:eastAsia="zh-CN"/>
        </w:rPr>
        <w:t>服务可用性和连续性管理计划</w:t>
      </w:r>
      <w:bookmarkEnd w:id="49"/>
    </w:p>
    <w:p w14:paraId="1717276C">
      <w:pPr>
        <w:pStyle w:val="29"/>
        <w:bidi w:val="0"/>
        <w:rPr>
          <w:rFonts w:hint="eastAsia"/>
          <w:lang w:val="en-US" w:eastAsia="zh-CN"/>
        </w:rPr>
      </w:pPr>
      <w:r>
        <w:t>为保障核心服务的高可用与业务连续性，公司建立了专项管理机制。每月考核</w:t>
      </w:r>
      <w:r>
        <w:rPr>
          <w:rFonts w:hint="default"/>
        </w:rPr>
        <w:t>服务可用率（目标值≥90%）并监控服务故障中断次数（约束值≤1次），每年至少组织一次应急演练。通过制定应急预案、实施冗余设计及定期演练，确保在计划内或意外中断时能快速恢复服务。</w:t>
      </w:r>
    </w:p>
    <w:p w14:paraId="1DA07AB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6065"/>
      <w:r>
        <w:rPr>
          <w:rFonts w:hint="eastAsia"/>
          <w:lang w:val="en-US" w:eastAsia="zh-CN"/>
        </w:rPr>
        <w:t>容量管理计划</w:t>
      </w:r>
      <w:bookmarkEnd w:id="50"/>
    </w:p>
    <w:p w14:paraId="278CAF9D">
      <w:pPr>
        <w:pStyle w:val="29"/>
        <w:bidi w:val="0"/>
        <w:rPr>
          <w:rFonts w:hint="eastAsia"/>
          <w:lang w:val="en-US" w:eastAsia="zh-CN"/>
        </w:rPr>
      </w:pPr>
      <w:r>
        <w:t>为确保IT资源能够持续满足业务增长需求，公司推行容量管理，每年对</w:t>
      </w:r>
      <w:r>
        <w:rPr>
          <w:rFonts w:hint="default"/>
        </w:rPr>
        <w:t>容量事件数（约束值≤1次）进行考核。数智运营部负责监控资源使用趋势并进行容量规划，通过前瞻性的分析与扩容，预防因资源不足导致的性能下降或服务中断。</w:t>
      </w:r>
    </w:p>
    <w:p w14:paraId="0191899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24032"/>
      <w:r>
        <w:rPr>
          <w:rFonts w:hint="eastAsia"/>
          <w:lang w:val="en-US" w:eastAsia="zh-CN"/>
        </w:rPr>
        <w:t>信息安全管理计划</w:t>
      </w:r>
      <w:bookmarkEnd w:id="51"/>
    </w:p>
    <w:p w14:paraId="6D60FE38">
      <w:pPr>
        <w:pStyle w:val="29"/>
        <w:bidi w:val="0"/>
        <w:rPr>
          <w:rFonts w:hint="default"/>
          <w:lang w:val="en-US" w:eastAsia="zh-CN"/>
        </w:rPr>
      </w:pPr>
      <w:r>
        <w:t>为保护客户与公司信息资产安全，公司实施信息安全管理体系，每年对</w:t>
      </w:r>
      <w:r>
        <w:rPr>
          <w:rFonts w:hint="default"/>
        </w:rPr>
        <w:t>信息安全事件数量（约束值≤1次）进行考核。通过制定安全策略、实施访问控制、开展安全培训与审计，持续构建主动防御能力，确保运维服务过程符合安全合规要求。</w:t>
      </w:r>
    </w:p>
    <w:p w14:paraId="7841B0E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20048"/>
      <w:r>
        <w:rPr>
          <w:rFonts w:hint="eastAsia"/>
          <w:lang w:val="en-US" w:eastAsia="zh-CN"/>
        </w:rPr>
        <w:t>交付管理计划</w:t>
      </w:r>
      <w:bookmarkEnd w:id="52"/>
    </w:p>
    <w:p w14:paraId="4520155C">
      <w:pPr>
        <w:pStyle w:val="29"/>
        <w:bidi w:val="0"/>
        <w:rPr>
          <w:rFonts w:hint="default"/>
          <w:lang w:val="en-US" w:eastAsia="zh-CN"/>
        </w:rPr>
      </w:pPr>
      <w:r>
        <w:t>为保障运维项目按时、按质完成交付，公司建立了交付管理体系，以</w:t>
      </w:r>
      <w:r>
        <w:rPr>
          <w:rFonts w:hint="default"/>
        </w:rPr>
        <w:t> 项目及时交付率 为核心指标，目标值为100%，并按年度进行考核。数智运营部作为交付责任主体，负责项目全生命周期的计划、执行与监控，通过强化资源协调与进度管控，确保所有运维项目均能达成既定交付目标，实现客户承诺与服务价值。</w:t>
      </w:r>
    </w:p>
    <w:p w14:paraId="5025B0C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24711"/>
      <w:r>
        <w:rPr>
          <w:rFonts w:hint="eastAsia"/>
          <w:lang w:val="en-US" w:eastAsia="zh-CN"/>
        </w:rPr>
        <w:t>应急管理计划</w:t>
      </w:r>
      <w:bookmarkEnd w:id="53"/>
    </w:p>
    <w:p w14:paraId="70CD5524">
      <w:pPr>
        <w:pStyle w:val="29"/>
        <w:bidi w:val="0"/>
        <w:rPr>
          <w:rFonts w:hint="eastAsia"/>
          <w:lang w:val="en-US" w:eastAsia="zh-CN"/>
        </w:rPr>
      </w:pPr>
      <w:r>
        <w:t>为有效应对重大服务中断等突发状况，保障业务连续性，公司制定了应急管理体系，以</w:t>
      </w:r>
      <w:r>
        <w:rPr>
          <w:rFonts w:hint="default"/>
        </w:rPr>
        <w:t> 项目应急演练次数 为核心过程指标，要求每年至少开展1次应急演练，并按年度进行考核。数智运营部协同应急管理部负责预案制定、演练组织与总结优化，通过常态化演练提升团队应急响应与协同处置能力，确保在真实事件发生时能够快速、有序恢复服务。</w:t>
      </w:r>
    </w:p>
    <w:p w14:paraId="04530C0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22660"/>
      <w:r>
        <w:rPr>
          <w:rFonts w:hint="eastAsia"/>
          <w:lang w:val="en-US" w:eastAsia="zh-CN"/>
        </w:rPr>
        <w:t>质量管理计划</w:t>
      </w:r>
      <w:bookmarkEnd w:id="54"/>
    </w:p>
    <w:p w14:paraId="722EEAC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6422"/>
      <w:r>
        <w:rPr>
          <w:rFonts w:hint="eastAsia"/>
          <w:lang w:val="en-US" w:eastAsia="zh-CN"/>
        </w:rPr>
        <w:t>内审</w:t>
      </w:r>
      <w:bookmarkEnd w:id="55"/>
    </w:p>
    <w:p w14:paraId="5C090A2C">
      <w:pPr>
        <w:pStyle w:val="29"/>
        <w:bidi w:val="0"/>
        <w:rPr>
          <w:rFonts w:hint="eastAsia"/>
          <w:lang w:val="en-US" w:eastAsia="zh-CN"/>
        </w:rPr>
      </w:pPr>
      <w:r>
        <w:t>为持续监督与改进公司运维服务管理体系的符合性与有效性，公司建立了内审管理制度，以</w:t>
      </w:r>
      <w:r>
        <w:rPr>
          <w:rFonts w:hint="default"/>
        </w:rPr>
        <w:t> 内审次数 为核心过程指标，目标值为每年不少于1次，并按年度进行考核。质量管理部作为内审组织与执行部门，负责制定审计计划、实施审计活动并输出审计报告，通过系统化的审核识别体系运行中的改进机会，推动管理体系持续完善。</w:t>
      </w:r>
    </w:p>
    <w:p w14:paraId="2416501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116"/>
      <w:r>
        <w:rPr>
          <w:rFonts w:hint="eastAsia"/>
          <w:lang w:val="en-US" w:eastAsia="zh-CN"/>
        </w:rPr>
        <w:t>管评</w:t>
      </w:r>
      <w:bookmarkEnd w:id="56"/>
    </w:p>
    <w:p w14:paraId="65A2D768">
      <w:pPr>
        <w:pStyle w:val="29"/>
        <w:bidi w:val="0"/>
      </w:pPr>
      <w:r>
        <w:t>为确保公司运维服务管理体系的适宜性、充分性和有效性，并与战略方向保持一致，公司建立了管理评审机制，以</w:t>
      </w:r>
      <w:r>
        <w:rPr>
          <w:rFonts w:hint="default"/>
        </w:rPr>
        <w:t> 管理评审次数 为核心过程指标，目标值为每年不少于1次，并按年度进行考核。由数智运营部牵头组织，公司管理层及相关部门负责人参与，依据内外部审核结果、服务绩效数据及客户反馈等信息进行系统性评审，输出决策与改进计划，驱动管理体系与业务发展的战略协同。</w:t>
      </w:r>
    </w:p>
    <w:p w14:paraId="7BEE7A9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9994"/>
      <w:r>
        <w:rPr>
          <w:rFonts w:hint="eastAsia"/>
          <w:lang w:val="en-US" w:eastAsia="zh-CN"/>
        </w:rPr>
        <w:t>客户满意度</w:t>
      </w:r>
      <w:bookmarkEnd w:id="57"/>
    </w:p>
    <w:p w14:paraId="54554F76">
      <w:pPr>
        <w:pStyle w:val="29"/>
        <w:bidi w:val="0"/>
        <w:rPr>
          <w:rFonts w:hint="default"/>
          <w:lang w:val="en-US" w:eastAsia="zh-CN"/>
        </w:rPr>
      </w:pPr>
      <w:r>
        <w:t>为系统获取客户对服务质量的评价，识别改进机会并提升客户忠诚度，公司建立了客户满意度调查机制，以</w:t>
      </w:r>
      <w:r>
        <w:rPr>
          <w:rFonts w:hint="default"/>
        </w:rPr>
        <w:t> 客户满意度 为核心结果指标，目标值为不低于90%，并按半年度进行考核。质量管理部负责调查问卷的设计、发放、回收与数据分析，形成满意度调查报告。调查结果将作为服务改进、管理决策及绩效考核的重要输入，形成“评价-反馈-改进”的管理闭环</w:t>
      </w:r>
      <w:r>
        <w:rPr>
          <w:rFonts w:hint="default"/>
          <w:lang w:val="en-US" w:eastAsia="zh-CN"/>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73808">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C7764DD"/>
    <w:multiLevelType w:val="singleLevel"/>
    <w:tmpl w:val="EC7764DD"/>
    <w:lvl w:ilvl="0" w:tentative="0">
      <w:start w:val="1"/>
      <w:numFmt w:val="decimal"/>
      <w:lvlText w:val="%1."/>
      <w:lvlJc w:val="left"/>
      <w:pPr>
        <w:ind w:left="425" w:hanging="425"/>
      </w:pPr>
      <w:rPr>
        <w:rFonts w:hint="default"/>
      </w:rPr>
    </w:lvl>
  </w:abstractNum>
  <w:abstractNum w:abstractNumId="2">
    <w:nsid w:val="0F92519D"/>
    <w:multiLevelType w:val="singleLevel"/>
    <w:tmpl w:val="0F92519D"/>
    <w:lvl w:ilvl="0" w:tentative="0">
      <w:start w:val="1"/>
      <w:numFmt w:val="decimal"/>
      <w:lvlText w:val="%1."/>
      <w:lvlJc w:val="left"/>
      <w:pPr>
        <w:ind w:left="425" w:hanging="425"/>
      </w:pPr>
      <w:rPr>
        <w:rFonts w:hint="default"/>
      </w:rPr>
    </w:lvl>
  </w:abstractNum>
  <w:abstractNum w:abstractNumId="3">
    <w:nsid w:val="52F5C425"/>
    <w:multiLevelType w:val="singleLevel"/>
    <w:tmpl w:val="52F5C425"/>
    <w:lvl w:ilvl="0" w:tentative="0">
      <w:start w:val="1"/>
      <w:numFmt w:val="decimal"/>
      <w:lvlText w:val="%1."/>
      <w:lvlJc w:val="left"/>
      <w:pPr>
        <w:ind w:left="425" w:hanging="425"/>
      </w:pPr>
      <w:rPr>
        <w:rFonts w:hint="default"/>
      </w:rPr>
    </w:lvl>
  </w:abstractNum>
  <w:abstractNum w:abstractNumId="4">
    <w:nsid w:val="60915A31"/>
    <w:multiLevelType w:val="singleLevel"/>
    <w:tmpl w:val="60915A31"/>
    <w:lvl w:ilvl="0" w:tentative="0">
      <w:start w:val="1"/>
      <w:numFmt w:val="decimal"/>
      <w:lvlText w:val="%1."/>
      <w:lvlJc w:val="left"/>
      <w:pPr>
        <w:ind w:left="425" w:hanging="425"/>
      </w:pPr>
      <w:rPr>
        <w:rFonts w:hint="default"/>
      </w:rPr>
    </w:lvl>
  </w:abstractNum>
  <w:abstractNum w:abstractNumId="5">
    <w:nsid w:val="67EC745F"/>
    <w:multiLevelType w:val="singleLevel"/>
    <w:tmpl w:val="67EC745F"/>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2"/>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A6F63"/>
    <w:rsid w:val="00933E3B"/>
    <w:rsid w:val="016D0AF5"/>
    <w:rsid w:val="035E4919"/>
    <w:rsid w:val="03B853A9"/>
    <w:rsid w:val="04583A5F"/>
    <w:rsid w:val="073A6E8C"/>
    <w:rsid w:val="09E739AA"/>
    <w:rsid w:val="0B144AF7"/>
    <w:rsid w:val="0CC514ED"/>
    <w:rsid w:val="0D38680D"/>
    <w:rsid w:val="0D841421"/>
    <w:rsid w:val="0E0E518E"/>
    <w:rsid w:val="0E26072A"/>
    <w:rsid w:val="0F384BB8"/>
    <w:rsid w:val="0F3B6457"/>
    <w:rsid w:val="0F4E1CE6"/>
    <w:rsid w:val="10030D22"/>
    <w:rsid w:val="10E36DA6"/>
    <w:rsid w:val="119028A6"/>
    <w:rsid w:val="14810A3E"/>
    <w:rsid w:val="148F527B"/>
    <w:rsid w:val="14E54E9B"/>
    <w:rsid w:val="15744470"/>
    <w:rsid w:val="16180394"/>
    <w:rsid w:val="16677B31"/>
    <w:rsid w:val="17123F41"/>
    <w:rsid w:val="18060066"/>
    <w:rsid w:val="1807389A"/>
    <w:rsid w:val="1B240CC8"/>
    <w:rsid w:val="1C814E6F"/>
    <w:rsid w:val="1E592455"/>
    <w:rsid w:val="1EF07441"/>
    <w:rsid w:val="1EFD1033"/>
    <w:rsid w:val="1F786B32"/>
    <w:rsid w:val="1FF71F26"/>
    <w:rsid w:val="20FC0BBA"/>
    <w:rsid w:val="2181419D"/>
    <w:rsid w:val="22284619"/>
    <w:rsid w:val="23202B75"/>
    <w:rsid w:val="24863878"/>
    <w:rsid w:val="258A1146"/>
    <w:rsid w:val="259B2FED"/>
    <w:rsid w:val="26DD408C"/>
    <w:rsid w:val="2B36429A"/>
    <w:rsid w:val="2B4A4823"/>
    <w:rsid w:val="2B5C164F"/>
    <w:rsid w:val="2B822FEC"/>
    <w:rsid w:val="2D202ABC"/>
    <w:rsid w:val="2D6366CE"/>
    <w:rsid w:val="2DBD030B"/>
    <w:rsid w:val="2F104DB2"/>
    <w:rsid w:val="2FB76FDC"/>
    <w:rsid w:val="30134D2D"/>
    <w:rsid w:val="30403475"/>
    <w:rsid w:val="3052288A"/>
    <w:rsid w:val="30AE03DF"/>
    <w:rsid w:val="314B0464"/>
    <w:rsid w:val="31857392"/>
    <w:rsid w:val="31C0486E"/>
    <w:rsid w:val="32B07BD2"/>
    <w:rsid w:val="3350577D"/>
    <w:rsid w:val="33507C0B"/>
    <w:rsid w:val="363870C8"/>
    <w:rsid w:val="379E638E"/>
    <w:rsid w:val="37EB1F18"/>
    <w:rsid w:val="3A157A6B"/>
    <w:rsid w:val="3D232155"/>
    <w:rsid w:val="3D417AC7"/>
    <w:rsid w:val="3DBE69D0"/>
    <w:rsid w:val="3E4954CC"/>
    <w:rsid w:val="3ED578DE"/>
    <w:rsid w:val="40185875"/>
    <w:rsid w:val="4091520E"/>
    <w:rsid w:val="40CE4185"/>
    <w:rsid w:val="41151DB4"/>
    <w:rsid w:val="414E6551"/>
    <w:rsid w:val="41F12A49"/>
    <w:rsid w:val="425038A0"/>
    <w:rsid w:val="444A2E03"/>
    <w:rsid w:val="459B6D2C"/>
    <w:rsid w:val="45CD7101"/>
    <w:rsid w:val="474343B2"/>
    <w:rsid w:val="47F066FE"/>
    <w:rsid w:val="48C52312"/>
    <w:rsid w:val="4A0A34BB"/>
    <w:rsid w:val="4BBA0128"/>
    <w:rsid w:val="4BBF129A"/>
    <w:rsid w:val="4C4C6FD2"/>
    <w:rsid w:val="4C72455F"/>
    <w:rsid w:val="4D08431F"/>
    <w:rsid w:val="4DD0778F"/>
    <w:rsid w:val="4EC76DE4"/>
    <w:rsid w:val="4ECD3CCE"/>
    <w:rsid w:val="4F952A3E"/>
    <w:rsid w:val="50131BB5"/>
    <w:rsid w:val="522E717A"/>
    <w:rsid w:val="5684380C"/>
    <w:rsid w:val="571A1A7B"/>
    <w:rsid w:val="573A3ECB"/>
    <w:rsid w:val="584E5E80"/>
    <w:rsid w:val="5A566545"/>
    <w:rsid w:val="5E8F3D9E"/>
    <w:rsid w:val="5FB058C0"/>
    <w:rsid w:val="61822C96"/>
    <w:rsid w:val="62BE3C02"/>
    <w:rsid w:val="63557C20"/>
    <w:rsid w:val="64025D70"/>
    <w:rsid w:val="64B61284"/>
    <w:rsid w:val="6B3037B2"/>
    <w:rsid w:val="6B7F0160"/>
    <w:rsid w:val="6C165518"/>
    <w:rsid w:val="6C354F35"/>
    <w:rsid w:val="6CC91247"/>
    <w:rsid w:val="6F5C0DC4"/>
    <w:rsid w:val="6F681F38"/>
    <w:rsid w:val="6FD35191"/>
    <w:rsid w:val="711A0B9D"/>
    <w:rsid w:val="72E76DE5"/>
    <w:rsid w:val="73B250BD"/>
    <w:rsid w:val="73BB61C1"/>
    <w:rsid w:val="74B3492E"/>
    <w:rsid w:val="760717EF"/>
    <w:rsid w:val="76D90992"/>
    <w:rsid w:val="78B90C9C"/>
    <w:rsid w:val="7B1A7159"/>
    <w:rsid w:val="7D256900"/>
    <w:rsid w:val="7D9B12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5437</Words>
  <Characters>5931</Characters>
  <Lines>0</Lines>
  <Paragraphs>0</Paragraphs>
  <TotalTime>0</TotalTime>
  <ScaleCrop>false</ScaleCrop>
  <LinksUpToDate>false</LinksUpToDate>
  <CharactersWithSpaces>6168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2026-01-28T15:50:32Z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