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4DC702">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699"/>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55CD7410">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9863"/>
      <w:r>
        <w:rPr>
          <w:rFonts w:hint="eastAsia"/>
          <w:lang w:val="en-US" w:eastAsia="zh-CN"/>
        </w:rPr>
        <w:t>运维服务内审管理制度</w:t>
      </w:r>
      <w:bookmarkEnd w:id="1"/>
    </w:p>
    <w:p w14:paraId="6A5E639E">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B438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E7BF1C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人力部</w:t>
            </w:r>
          </w:p>
        </w:tc>
        <w:tc>
          <w:tcPr>
            <w:tcW w:w="2708" w:type="dxa"/>
          </w:tcPr>
          <w:p w14:paraId="544909AD">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A9A6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9D5E5D8">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41A29D81">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E71C0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8E1326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2FEEB6E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3EB8E427">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39ADECB9">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4B62DEC8">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6E348B6">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591194C4">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_Toc699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_Toc699 \h </w:instrText>
          </w:r>
          <w:r>
            <w:fldChar w:fldCharType="separate"/>
          </w:r>
          <w:r>
            <w:t>1</w:t>
          </w:r>
          <w:r>
            <w:fldChar w:fldCharType="end"/>
          </w:r>
          <w:r>
            <w:rPr>
              <w:rFonts w:hint="eastAsia" w:ascii="宋体" w:hAnsi="宋体" w:eastAsia="宋体" w:cs="宋体"/>
              <w:szCs w:val="24"/>
            </w:rPr>
            <w:fldChar w:fldCharType="end"/>
          </w:r>
        </w:p>
        <w:p w14:paraId="609084F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_Toc29863 </w:instrText>
          </w:r>
          <w:r>
            <w:rPr>
              <w:rFonts w:hint="eastAsia" w:ascii="宋体" w:hAnsi="宋体" w:eastAsia="宋体" w:cs="宋体"/>
              <w:szCs w:val="24"/>
            </w:rPr>
            <w:fldChar w:fldCharType="separate"/>
          </w:r>
          <w:r>
            <w:rPr>
              <w:rFonts w:hint="eastAsia"/>
              <w:lang w:val="en-US" w:eastAsia="zh-CN"/>
            </w:rPr>
            <w:t>运维服务内审管理制度</w:t>
          </w:r>
          <w:r>
            <w:tab/>
          </w:r>
          <w:r>
            <w:fldChar w:fldCharType="begin"/>
          </w:r>
          <w:r>
            <w:instrText xml:space="preserve"> PAGEREF _Toc29863 \h </w:instrText>
          </w:r>
          <w:r>
            <w:fldChar w:fldCharType="separate"/>
          </w:r>
          <w:r>
            <w:t>1</w:t>
          </w:r>
          <w:r>
            <w:fldChar w:fldCharType="end"/>
          </w:r>
          <w:r>
            <w:rPr>
              <w:rFonts w:hint="eastAsia" w:ascii="宋体" w:hAnsi="宋体" w:eastAsia="宋体" w:cs="宋体"/>
              <w:szCs w:val="24"/>
            </w:rPr>
            <w:fldChar w:fldCharType="end"/>
          </w:r>
        </w:p>
        <w:p w14:paraId="3ECCA5D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_Toc20826 </w:instrText>
          </w:r>
          <w:r>
            <w:rPr>
              <w:rFonts w:hint="eastAsia" w:ascii="宋体" w:hAnsi="宋体" w:eastAsia="宋体" w:cs="宋体"/>
              <w:szCs w:val="24"/>
            </w:rPr>
            <w:fldChar w:fldCharType="separate"/>
          </w:r>
          <w:r>
            <w:rPr>
              <w:rFonts w:hint="default"/>
              <w:lang w:val="en-US" w:eastAsia="zh-CN"/>
            </w:rPr>
            <w:t>1. 目的</w:t>
          </w:r>
          <w:r>
            <w:tab/>
          </w:r>
          <w:r>
            <w:fldChar w:fldCharType="begin"/>
          </w:r>
          <w:r>
            <w:instrText xml:space="preserve"> PAGEREF _Toc20826 \h </w:instrText>
          </w:r>
          <w:r>
            <w:fldChar w:fldCharType="separate"/>
          </w:r>
          <w:r>
            <w:t>4</w:t>
          </w:r>
          <w:r>
            <w:fldChar w:fldCharType="end"/>
          </w:r>
          <w:r>
            <w:rPr>
              <w:rFonts w:hint="eastAsia" w:ascii="宋体" w:hAnsi="宋体" w:eastAsia="宋体" w:cs="宋体"/>
              <w:szCs w:val="24"/>
            </w:rPr>
            <w:fldChar w:fldCharType="end"/>
          </w:r>
        </w:p>
        <w:p w14:paraId="63B617E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_Toc13003 </w:instrText>
          </w:r>
          <w:r>
            <w:rPr>
              <w:rFonts w:hint="eastAsia" w:ascii="宋体" w:hAnsi="宋体" w:eastAsia="宋体" w:cs="宋体"/>
              <w:szCs w:val="24"/>
            </w:rPr>
            <w:fldChar w:fldCharType="separate"/>
          </w:r>
          <w:r>
            <w:rPr>
              <w:rFonts w:hint="default"/>
              <w:lang w:val="en-US" w:eastAsia="zh-CN"/>
            </w:rPr>
            <w:t>2. 适用范围</w:t>
          </w:r>
          <w:r>
            <w:tab/>
          </w:r>
          <w:r>
            <w:fldChar w:fldCharType="begin"/>
          </w:r>
          <w:r>
            <w:instrText xml:space="preserve"> PAGEREF _Toc13003 \h </w:instrText>
          </w:r>
          <w:r>
            <w:fldChar w:fldCharType="separate"/>
          </w:r>
          <w:r>
            <w:t>4</w:t>
          </w:r>
          <w:r>
            <w:fldChar w:fldCharType="end"/>
          </w:r>
          <w:r>
            <w:rPr>
              <w:rFonts w:hint="eastAsia" w:ascii="宋体" w:hAnsi="宋体" w:eastAsia="宋体" w:cs="宋体"/>
              <w:szCs w:val="24"/>
            </w:rPr>
            <w:fldChar w:fldCharType="end"/>
          </w:r>
        </w:p>
        <w:p w14:paraId="619CAA9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_Toc15112 </w:instrText>
          </w:r>
          <w:r>
            <w:rPr>
              <w:rFonts w:hint="eastAsia" w:ascii="宋体" w:hAnsi="宋体" w:eastAsia="宋体" w:cs="宋体"/>
              <w:szCs w:val="24"/>
            </w:rPr>
            <w:fldChar w:fldCharType="separate"/>
          </w:r>
          <w:r>
            <w:rPr>
              <w:rFonts w:hint="default"/>
              <w:lang w:val="en-US" w:eastAsia="zh-CN"/>
            </w:rPr>
            <w:t>3. 职责</w:t>
          </w:r>
          <w:r>
            <w:tab/>
          </w:r>
          <w:r>
            <w:fldChar w:fldCharType="begin"/>
          </w:r>
          <w:r>
            <w:instrText xml:space="preserve"> PAGEREF _Toc15112 \h </w:instrText>
          </w:r>
          <w:r>
            <w:fldChar w:fldCharType="separate"/>
          </w:r>
          <w:r>
            <w:t>4</w:t>
          </w:r>
          <w:r>
            <w:fldChar w:fldCharType="end"/>
          </w:r>
          <w:r>
            <w:rPr>
              <w:rFonts w:hint="eastAsia" w:ascii="宋体" w:hAnsi="宋体" w:eastAsia="宋体" w:cs="宋体"/>
              <w:szCs w:val="24"/>
            </w:rPr>
            <w:fldChar w:fldCharType="end"/>
          </w:r>
        </w:p>
        <w:p w14:paraId="705ACFB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_Toc8981 </w:instrText>
          </w:r>
          <w:r>
            <w:rPr>
              <w:rFonts w:hint="eastAsia" w:ascii="宋体" w:hAnsi="宋体" w:eastAsia="宋体" w:cs="宋体"/>
              <w:szCs w:val="24"/>
            </w:rPr>
            <w:fldChar w:fldCharType="separate"/>
          </w:r>
          <w:r>
            <w:rPr>
              <w:rFonts w:hint="default"/>
              <w:lang w:val="en-US" w:eastAsia="zh-CN"/>
            </w:rPr>
            <w:t>3.1. 质量管理部</w:t>
          </w:r>
          <w:r>
            <w:tab/>
          </w:r>
          <w:r>
            <w:fldChar w:fldCharType="begin"/>
          </w:r>
          <w:r>
            <w:instrText xml:space="preserve"> PAGEREF _Toc8981 \h </w:instrText>
          </w:r>
          <w:r>
            <w:fldChar w:fldCharType="separate"/>
          </w:r>
          <w:r>
            <w:t>4</w:t>
          </w:r>
          <w:r>
            <w:fldChar w:fldCharType="end"/>
          </w:r>
          <w:r>
            <w:rPr>
              <w:rFonts w:hint="eastAsia" w:ascii="宋体" w:hAnsi="宋体" w:eastAsia="宋体" w:cs="宋体"/>
              <w:szCs w:val="24"/>
            </w:rPr>
            <w:fldChar w:fldCharType="end"/>
          </w:r>
        </w:p>
        <w:p w14:paraId="32EC993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_Toc5458 </w:instrText>
          </w:r>
          <w:r>
            <w:rPr>
              <w:rFonts w:hint="eastAsia" w:ascii="宋体" w:hAnsi="宋体" w:eastAsia="宋体" w:cs="宋体"/>
              <w:szCs w:val="24"/>
            </w:rPr>
            <w:fldChar w:fldCharType="separate"/>
          </w:r>
          <w:r>
            <w:rPr>
              <w:rFonts w:hint="default"/>
              <w:lang w:val="en-US" w:eastAsia="zh-CN"/>
            </w:rPr>
            <w:t>3.2. 审核组长</w:t>
          </w:r>
          <w:r>
            <w:tab/>
          </w:r>
          <w:r>
            <w:fldChar w:fldCharType="begin"/>
          </w:r>
          <w:r>
            <w:instrText xml:space="preserve"> PAGEREF _Toc5458 \h </w:instrText>
          </w:r>
          <w:r>
            <w:fldChar w:fldCharType="separate"/>
          </w:r>
          <w:r>
            <w:t>4</w:t>
          </w:r>
          <w:r>
            <w:fldChar w:fldCharType="end"/>
          </w:r>
          <w:r>
            <w:rPr>
              <w:rFonts w:hint="eastAsia" w:ascii="宋体" w:hAnsi="宋体" w:eastAsia="宋体" w:cs="宋体"/>
              <w:szCs w:val="24"/>
            </w:rPr>
            <w:fldChar w:fldCharType="end"/>
          </w:r>
        </w:p>
        <w:p w14:paraId="5E0D137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_Toc31066 </w:instrText>
          </w:r>
          <w:r>
            <w:rPr>
              <w:rFonts w:hint="eastAsia" w:ascii="宋体" w:hAnsi="宋体" w:eastAsia="宋体" w:cs="宋体"/>
              <w:szCs w:val="24"/>
            </w:rPr>
            <w:fldChar w:fldCharType="separate"/>
          </w:r>
          <w:r>
            <w:rPr>
              <w:rFonts w:hint="default"/>
              <w:lang w:val="en-US" w:eastAsia="zh-CN"/>
            </w:rPr>
            <w:t>3.3. 内审员</w:t>
          </w:r>
          <w:r>
            <w:tab/>
          </w:r>
          <w:r>
            <w:fldChar w:fldCharType="begin"/>
          </w:r>
          <w:r>
            <w:instrText xml:space="preserve"> PAGEREF _Toc31066 \h </w:instrText>
          </w:r>
          <w:r>
            <w:fldChar w:fldCharType="separate"/>
          </w:r>
          <w:r>
            <w:t>4</w:t>
          </w:r>
          <w:r>
            <w:fldChar w:fldCharType="end"/>
          </w:r>
          <w:r>
            <w:rPr>
              <w:rFonts w:hint="eastAsia" w:ascii="宋体" w:hAnsi="宋体" w:eastAsia="宋体" w:cs="宋体"/>
              <w:szCs w:val="24"/>
            </w:rPr>
            <w:fldChar w:fldCharType="end"/>
          </w:r>
        </w:p>
        <w:p w14:paraId="5ED64CA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_Toc12087 </w:instrText>
          </w:r>
          <w:r>
            <w:rPr>
              <w:rFonts w:hint="eastAsia" w:ascii="宋体" w:hAnsi="宋体" w:eastAsia="宋体" w:cs="宋体"/>
              <w:szCs w:val="24"/>
            </w:rPr>
            <w:fldChar w:fldCharType="separate"/>
          </w:r>
          <w:r>
            <w:rPr>
              <w:rFonts w:hint="default"/>
              <w:lang w:val="en-US" w:eastAsia="zh-CN"/>
            </w:rPr>
            <w:t>3.4. 受审核部门</w:t>
          </w:r>
          <w:r>
            <w:tab/>
          </w:r>
          <w:r>
            <w:fldChar w:fldCharType="begin"/>
          </w:r>
          <w:r>
            <w:instrText xml:space="preserve"> PAGEREF _Toc12087 \h </w:instrText>
          </w:r>
          <w:r>
            <w:fldChar w:fldCharType="separate"/>
          </w:r>
          <w:r>
            <w:t>5</w:t>
          </w:r>
          <w:r>
            <w:fldChar w:fldCharType="end"/>
          </w:r>
          <w:r>
            <w:rPr>
              <w:rFonts w:hint="eastAsia" w:ascii="宋体" w:hAnsi="宋体" w:eastAsia="宋体" w:cs="宋体"/>
              <w:szCs w:val="24"/>
            </w:rPr>
            <w:fldChar w:fldCharType="end"/>
          </w:r>
        </w:p>
        <w:p w14:paraId="17B90CF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_Toc28980 </w:instrText>
          </w:r>
          <w:r>
            <w:rPr>
              <w:rFonts w:hint="eastAsia" w:ascii="宋体" w:hAnsi="宋体" w:eastAsia="宋体" w:cs="宋体"/>
              <w:szCs w:val="24"/>
            </w:rPr>
            <w:fldChar w:fldCharType="separate"/>
          </w:r>
          <w:r>
            <w:rPr>
              <w:rFonts w:hint="default"/>
              <w:lang w:val="en-US" w:eastAsia="zh-CN"/>
            </w:rPr>
            <w:t>4. 工作程序</w:t>
          </w:r>
          <w:r>
            <w:tab/>
          </w:r>
          <w:r>
            <w:fldChar w:fldCharType="begin"/>
          </w:r>
          <w:r>
            <w:instrText xml:space="preserve"> PAGEREF _Toc28980 \h </w:instrText>
          </w:r>
          <w:r>
            <w:fldChar w:fldCharType="separate"/>
          </w:r>
          <w:r>
            <w:t>5</w:t>
          </w:r>
          <w:r>
            <w:fldChar w:fldCharType="end"/>
          </w:r>
          <w:r>
            <w:rPr>
              <w:rFonts w:hint="eastAsia" w:ascii="宋体" w:hAnsi="宋体" w:eastAsia="宋体" w:cs="宋体"/>
              <w:szCs w:val="24"/>
            </w:rPr>
            <w:fldChar w:fldCharType="end"/>
          </w:r>
        </w:p>
        <w:p w14:paraId="70A79F4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_Toc9264 </w:instrText>
          </w:r>
          <w:r>
            <w:rPr>
              <w:rFonts w:hint="eastAsia" w:ascii="宋体" w:hAnsi="宋体" w:eastAsia="宋体" w:cs="宋体"/>
              <w:szCs w:val="24"/>
            </w:rPr>
            <w:fldChar w:fldCharType="separate"/>
          </w:r>
          <w:r>
            <w:rPr>
              <w:rFonts w:hint="default"/>
              <w:lang w:val="en-US" w:eastAsia="zh-CN"/>
            </w:rPr>
            <w:t>4.1. 审核频次与时机</w:t>
          </w:r>
          <w:r>
            <w:tab/>
          </w:r>
          <w:r>
            <w:fldChar w:fldCharType="begin"/>
          </w:r>
          <w:r>
            <w:instrText xml:space="preserve"> PAGEREF _Toc9264 \h </w:instrText>
          </w:r>
          <w:r>
            <w:fldChar w:fldCharType="separate"/>
          </w:r>
          <w:r>
            <w:t>5</w:t>
          </w:r>
          <w:r>
            <w:fldChar w:fldCharType="end"/>
          </w:r>
          <w:r>
            <w:rPr>
              <w:rFonts w:hint="eastAsia" w:ascii="宋体" w:hAnsi="宋体" w:eastAsia="宋体" w:cs="宋体"/>
              <w:szCs w:val="24"/>
            </w:rPr>
            <w:fldChar w:fldCharType="end"/>
          </w:r>
        </w:p>
        <w:p w14:paraId="2CC2456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_Toc30042 </w:instrText>
          </w:r>
          <w:r>
            <w:rPr>
              <w:rFonts w:hint="eastAsia" w:ascii="宋体" w:hAnsi="宋体" w:eastAsia="宋体" w:cs="宋体"/>
              <w:szCs w:val="24"/>
            </w:rPr>
            <w:fldChar w:fldCharType="separate"/>
          </w:r>
          <w:r>
            <w:rPr>
              <w:rFonts w:hint="default"/>
              <w:lang w:val="en-US" w:eastAsia="zh-CN"/>
            </w:rPr>
            <w:t>4.2. 审核策划</w:t>
          </w:r>
          <w:r>
            <w:tab/>
          </w:r>
          <w:r>
            <w:fldChar w:fldCharType="begin"/>
          </w:r>
          <w:r>
            <w:instrText xml:space="preserve"> PAGEREF _Toc30042 \h </w:instrText>
          </w:r>
          <w:r>
            <w:fldChar w:fldCharType="separate"/>
          </w:r>
          <w:r>
            <w:t>5</w:t>
          </w:r>
          <w:r>
            <w:fldChar w:fldCharType="end"/>
          </w:r>
          <w:r>
            <w:rPr>
              <w:rFonts w:hint="eastAsia" w:ascii="宋体" w:hAnsi="宋体" w:eastAsia="宋体" w:cs="宋体"/>
              <w:szCs w:val="24"/>
            </w:rPr>
            <w:fldChar w:fldCharType="end"/>
          </w:r>
        </w:p>
        <w:p w14:paraId="0BA331E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_Toc1199 </w:instrText>
          </w:r>
          <w:r>
            <w:rPr>
              <w:rFonts w:hint="eastAsia" w:ascii="宋体" w:hAnsi="宋体" w:eastAsia="宋体" w:cs="宋体"/>
              <w:szCs w:val="24"/>
            </w:rPr>
            <w:fldChar w:fldCharType="separate"/>
          </w:r>
          <w:r>
            <w:rPr>
              <w:rFonts w:hint="default"/>
              <w:lang w:val="en-US" w:eastAsia="zh-CN"/>
            </w:rPr>
            <w:t>4.3. 审核准备</w:t>
          </w:r>
          <w:r>
            <w:tab/>
          </w:r>
          <w:r>
            <w:fldChar w:fldCharType="begin"/>
          </w:r>
          <w:r>
            <w:instrText xml:space="preserve"> PAGEREF _Toc1199 \h </w:instrText>
          </w:r>
          <w:r>
            <w:fldChar w:fldCharType="separate"/>
          </w:r>
          <w:r>
            <w:t>5</w:t>
          </w:r>
          <w:r>
            <w:fldChar w:fldCharType="end"/>
          </w:r>
          <w:r>
            <w:rPr>
              <w:rFonts w:hint="eastAsia" w:ascii="宋体" w:hAnsi="宋体" w:eastAsia="宋体" w:cs="宋体"/>
              <w:szCs w:val="24"/>
            </w:rPr>
            <w:fldChar w:fldCharType="end"/>
          </w:r>
        </w:p>
        <w:p w14:paraId="30AC6EE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_Toc19108 </w:instrText>
          </w:r>
          <w:r>
            <w:rPr>
              <w:rFonts w:hint="eastAsia" w:ascii="宋体" w:hAnsi="宋体" w:eastAsia="宋体" w:cs="宋体"/>
              <w:szCs w:val="24"/>
            </w:rPr>
            <w:fldChar w:fldCharType="separate"/>
          </w:r>
          <w:r>
            <w:rPr>
              <w:rFonts w:hint="default"/>
              <w:lang w:val="en-US" w:eastAsia="zh-CN"/>
            </w:rPr>
            <w:t>4.4. 审核实施</w:t>
          </w:r>
          <w:r>
            <w:tab/>
          </w:r>
          <w:r>
            <w:fldChar w:fldCharType="begin"/>
          </w:r>
          <w:r>
            <w:instrText xml:space="preserve"> PAGEREF _Toc19108 \h </w:instrText>
          </w:r>
          <w:r>
            <w:fldChar w:fldCharType="separate"/>
          </w:r>
          <w:r>
            <w:t>6</w:t>
          </w:r>
          <w:r>
            <w:fldChar w:fldCharType="end"/>
          </w:r>
          <w:r>
            <w:rPr>
              <w:rFonts w:hint="eastAsia" w:ascii="宋体" w:hAnsi="宋体" w:eastAsia="宋体" w:cs="宋体"/>
              <w:szCs w:val="24"/>
            </w:rPr>
            <w:fldChar w:fldCharType="end"/>
          </w:r>
        </w:p>
        <w:p w14:paraId="0D81889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_Toc26524 </w:instrText>
          </w:r>
          <w:r>
            <w:rPr>
              <w:rFonts w:hint="eastAsia" w:ascii="宋体" w:hAnsi="宋体" w:eastAsia="宋体" w:cs="宋体"/>
              <w:szCs w:val="24"/>
            </w:rPr>
            <w:fldChar w:fldCharType="separate"/>
          </w:r>
          <w:r>
            <w:rPr>
              <w:rFonts w:hint="default"/>
              <w:lang w:val="en-US" w:eastAsia="zh-CN"/>
            </w:rPr>
            <w:t>4.5. 审核报告与总结</w:t>
          </w:r>
          <w:r>
            <w:tab/>
          </w:r>
          <w:r>
            <w:fldChar w:fldCharType="begin"/>
          </w:r>
          <w:r>
            <w:instrText xml:space="preserve"> PAGEREF _Toc26524 \h </w:instrText>
          </w:r>
          <w:r>
            <w:fldChar w:fldCharType="separate"/>
          </w:r>
          <w:r>
            <w:t>6</w:t>
          </w:r>
          <w:r>
            <w:fldChar w:fldCharType="end"/>
          </w:r>
          <w:r>
            <w:rPr>
              <w:rFonts w:hint="eastAsia" w:ascii="宋体" w:hAnsi="宋体" w:eastAsia="宋体" w:cs="宋体"/>
              <w:szCs w:val="24"/>
            </w:rPr>
            <w:fldChar w:fldCharType="end"/>
          </w:r>
        </w:p>
        <w:p w14:paraId="3A6A4E2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_Toc9245 </w:instrText>
          </w:r>
          <w:r>
            <w:rPr>
              <w:rFonts w:hint="eastAsia" w:ascii="宋体" w:hAnsi="宋体" w:eastAsia="宋体" w:cs="宋体"/>
              <w:szCs w:val="24"/>
            </w:rPr>
            <w:fldChar w:fldCharType="separate"/>
          </w:r>
          <w:r>
            <w:rPr>
              <w:rFonts w:hint="default"/>
              <w:lang w:val="en-US" w:eastAsia="zh-CN"/>
            </w:rPr>
            <w:t>4.6. 纠正措施与跟踪验证</w:t>
          </w:r>
          <w:r>
            <w:tab/>
          </w:r>
          <w:r>
            <w:fldChar w:fldCharType="begin"/>
          </w:r>
          <w:r>
            <w:instrText xml:space="preserve"> PAGEREF _Toc9245 \h </w:instrText>
          </w:r>
          <w:r>
            <w:fldChar w:fldCharType="separate"/>
          </w:r>
          <w:r>
            <w:t>6</w:t>
          </w:r>
          <w:r>
            <w:fldChar w:fldCharType="end"/>
          </w:r>
          <w:r>
            <w:rPr>
              <w:rFonts w:hint="eastAsia" w:ascii="宋体" w:hAnsi="宋体" w:eastAsia="宋体" w:cs="宋体"/>
              <w:szCs w:val="24"/>
            </w:rPr>
            <w:fldChar w:fldCharType="end"/>
          </w:r>
        </w:p>
        <w:p w14:paraId="504479C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_Toc21643 </w:instrText>
          </w:r>
          <w:r>
            <w:rPr>
              <w:rFonts w:hint="eastAsia" w:ascii="宋体" w:hAnsi="宋体" w:eastAsia="宋体" w:cs="宋体"/>
              <w:szCs w:val="24"/>
            </w:rPr>
            <w:fldChar w:fldCharType="separate"/>
          </w:r>
          <w:r>
            <w:rPr>
              <w:rFonts w:hint="default"/>
              <w:lang w:val="en-US" w:eastAsia="zh-CN"/>
            </w:rPr>
            <w:t>4.7. 记录与档案</w:t>
          </w:r>
          <w:r>
            <w:tab/>
          </w:r>
          <w:r>
            <w:fldChar w:fldCharType="begin"/>
          </w:r>
          <w:r>
            <w:instrText xml:space="preserve"> PAGEREF _Toc21643 \h </w:instrText>
          </w:r>
          <w:r>
            <w:fldChar w:fldCharType="separate"/>
          </w:r>
          <w:r>
            <w:t>7</w:t>
          </w:r>
          <w:r>
            <w:fldChar w:fldCharType="end"/>
          </w:r>
          <w:r>
            <w:rPr>
              <w:rFonts w:hint="eastAsia" w:ascii="宋体" w:hAnsi="宋体" w:eastAsia="宋体" w:cs="宋体"/>
              <w:szCs w:val="24"/>
            </w:rPr>
            <w:fldChar w:fldCharType="end"/>
          </w:r>
        </w:p>
        <w:p w14:paraId="603ABF8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_Toc28895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考核指标</w:t>
          </w:r>
          <w:r>
            <w:tab/>
          </w:r>
          <w:r>
            <w:fldChar w:fldCharType="begin"/>
          </w:r>
          <w:r>
            <w:instrText xml:space="preserve"> PAGEREF _Toc28895 \h </w:instrText>
          </w:r>
          <w:r>
            <w:fldChar w:fldCharType="separate"/>
          </w:r>
          <w:r>
            <w:t>7</w:t>
          </w:r>
          <w:r>
            <w:fldChar w:fldCharType="end"/>
          </w:r>
          <w:r>
            <w:rPr>
              <w:rFonts w:hint="eastAsia" w:ascii="宋体" w:hAnsi="宋体" w:eastAsia="宋体" w:cs="宋体"/>
              <w:szCs w:val="24"/>
            </w:rPr>
            <w:fldChar w:fldCharType="end"/>
          </w:r>
        </w:p>
        <w:p w14:paraId="12D6D0E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_Toc13501 </w:instrText>
          </w:r>
          <w:r>
            <w:rPr>
              <w:rFonts w:hint="eastAsia" w:ascii="宋体" w:hAnsi="宋体" w:eastAsia="宋体" w:cs="宋体"/>
              <w:szCs w:val="24"/>
            </w:rPr>
            <w:fldChar w:fldCharType="separate"/>
          </w:r>
          <w:r>
            <w:rPr>
              <w:rFonts w:hint="default"/>
              <w:lang w:val="en-US" w:eastAsia="zh-CN"/>
            </w:rPr>
            <w:t>6. 附则</w:t>
          </w:r>
          <w:r>
            <w:tab/>
          </w:r>
          <w:r>
            <w:fldChar w:fldCharType="begin"/>
          </w:r>
          <w:r>
            <w:instrText xml:space="preserve"> PAGEREF _Toc13501 \h </w:instrText>
          </w:r>
          <w:r>
            <w:fldChar w:fldCharType="separate"/>
          </w:r>
          <w:r>
            <w:t>7</w:t>
          </w:r>
          <w:r>
            <w:fldChar w:fldCharType="end"/>
          </w:r>
          <w:r>
            <w:rPr>
              <w:rFonts w:hint="eastAsia" w:ascii="宋体" w:hAnsi="宋体" w:eastAsia="宋体" w:cs="宋体"/>
              <w:szCs w:val="24"/>
            </w:rPr>
            <w:fldChar w:fldCharType="end"/>
          </w:r>
        </w:p>
        <w:p w14:paraId="1E059FA1">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32E553A">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25244B6">
      <w:pPr>
        <w:pStyle w:val="28"/>
        <w:bidi w:val="0"/>
        <w:rPr>
          <w:rFonts w:hint="default"/>
          <w:lang w:val="en-US" w:eastAsia="zh-CN"/>
        </w:rPr>
      </w:pPr>
      <w:bookmarkStart w:id="2" w:name="_Toc20826"/>
      <w:r>
        <w:rPr>
          <w:rFonts w:hint="default"/>
          <w:lang w:val="en-US" w:eastAsia="zh-CN"/>
        </w:rPr>
        <w:t>目的</w:t>
      </w:r>
      <w:bookmarkEnd w:id="2"/>
    </w:p>
    <w:p w14:paraId="2AEDEBD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为验证并确保公司运维服务质量管理体系（以下简称“体系”）持续满足国家标准、行业要求及公司内部规定，并得到有效实施与保持，通过系统、独立、客观的审核活动，发现问题、推动改进，特制定本制度。</w:t>
      </w:r>
    </w:p>
    <w:p w14:paraId="2B86766A">
      <w:pPr>
        <w:pStyle w:val="28"/>
        <w:bidi w:val="0"/>
        <w:rPr>
          <w:rFonts w:hint="default"/>
          <w:lang w:val="en-US" w:eastAsia="zh-CN"/>
        </w:rPr>
      </w:pPr>
      <w:bookmarkStart w:id="3" w:name="_Toc13003"/>
      <w:r>
        <w:rPr>
          <w:rFonts w:hint="default"/>
          <w:lang w:val="en-US" w:eastAsia="zh-CN"/>
        </w:rPr>
        <w:t>适用范围</w:t>
      </w:r>
      <w:bookmarkEnd w:id="3"/>
    </w:p>
    <w:p w14:paraId="624FB6F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本制度适用于公司范围内所有与软件运维服务相关的质量管理体系内部审核活动。</w:t>
      </w:r>
    </w:p>
    <w:p w14:paraId="00E9AECE">
      <w:pPr>
        <w:pStyle w:val="28"/>
        <w:bidi w:val="0"/>
        <w:rPr>
          <w:rFonts w:hint="default"/>
          <w:lang w:val="en-US" w:eastAsia="zh-CN"/>
        </w:rPr>
      </w:pPr>
      <w:bookmarkStart w:id="4" w:name="_Toc15112"/>
      <w:r>
        <w:rPr>
          <w:rFonts w:hint="default"/>
          <w:lang w:val="en-US" w:eastAsia="zh-CN"/>
        </w:rPr>
        <w:t>职责</w:t>
      </w:r>
      <w:bookmarkEnd w:id="4"/>
    </w:p>
    <w:p w14:paraId="0BC1DADC">
      <w:pPr>
        <w:pStyle w:val="30"/>
        <w:bidi w:val="0"/>
        <w:rPr>
          <w:rFonts w:hint="default"/>
          <w:lang w:val="en-US" w:eastAsia="zh-CN"/>
        </w:rPr>
      </w:pPr>
      <w:bookmarkStart w:id="5" w:name="_Toc8981"/>
      <w:r>
        <w:rPr>
          <w:rFonts w:hint="default"/>
          <w:lang w:val="en-US" w:eastAsia="zh-CN"/>
        </w:rPr>
        <w:t>质量管理部</w:t>
      </w:r>
      <w:bookmarkEnd w:id="5"/>
    </w:p>
    <w:p w14:paraId="5A9758D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作为内部审核的归口管理部门，负责组织策划年度内审活动。</w:t>
      </w:r>
    </w:p>
    <w:p w14:paraId="266B58B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负责组建内审组，提名并任命审核组长。</w:t>
      </w:r>
    </w:p>
    <w:p w14:paraId="3554518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负责组织编制、发布《年度内部审核计划》。</w:t>
      </w:r>
    </w:p>
    <w:p w14:paraId="6B651D9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负责保管所有内审活动产生的记录和档案。</w:t>
      </w:r>
    </w:p>
    <w:p w14:paraId="5271682A">
      <w:pPr>
        <w:pStyle w:val="30"/>
        <w:bidi w:val="0"/>
        <w:rPr>
          <w:rFonts w:hint="default"/>
          <w:lang w:val="en-US" w:eastAsia="zh-CN"/>
        </w:rPr>
      </w:pPr>
      <w:bookmarkStart w:id="6" w:name="_Toc5458"/>
      <w:r>
        <w:rPr>
          <w:rFonts w:hint="default"/>
          <w:lang w:val="en-US" w:eastAsia="zh-CN"/>
        </w:rPr>
        <w:t>审核组长</w:t>
      </w:r>
      <w:bookmarkEnd w:id="6"/>
    </w:p>
    <w:p w14:paraId="7AE67DE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通常由质量管理部经理或其指定人员担任。</w:t>
      </w:r>
    </w:p>
    <w:p w14:paraId="2B36C8B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负责编制具体的《内部审核实施计划》和《内部审核检查表》。</w:t>
      </w:r>
    </w:p>
    <w:p w14:paraId="175C219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负责组织并主持内审的全过程，包括首次会议、现场审核、末次会议。</w:t>
      </w:r>
    </w:p>
    <w:p w14:paraId="66F7BA9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负责编写《内部审核报告》，并对审核结论的准确性负责。</w:t>
      </w:r>
    </w:p>
    <w:p w14:paraId="034E959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负责组织对不符合项纠正措施落实情况的跟踪验证。</w:t>
      </w:r>
    </w:p>
    <w:p w14:paraId="0D68DF27">
      <w:pPr>
        <w:pStyle w:val="30"/>
        <w:bidi w:val="0"/>
        <w:rPr>
          <w:rFonts w:hint="default"/>
          <w:lang w:val="en-US" w:eastAsia="zh-CN"/>
        </w:rPr>
      </w:pPr>
      <w:bookmarkStart w:id="7" w:name="_Toc31066"/>
      <w:r>
        <w:rPr>
          <w:rFonts w:hint="default"/>
          <w:lang w:val="en-US" w:eastAsia="zh-CN"/>
        </w:rPr>
        <w:t>内审员</w:t>
      </w:r>
      <w:bookmarkEnd w:id="7"/>
    </w:p>
    <w:p w14:paraId="41FD293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由经培训合格并取得资格的公司员工担任。</w:t>
      </w:r>
    </w:p>
    <w:p w14:paraId="49A5168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在审核组长领导下，按计划完成分配的审核任务。</w:t>
      </w:r>
    </w:p>
    <w:p w14:paraId="71B7745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客观、公正地收集审核证据，记录审核发现。</w:t>
      </w:r>
    </w:p>
    <w:p w14:paraId="0238DE1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协助编写不符合项报告，参与纠正措施的验证。</w:t>
      </w:r>
    </w:p>
    <w:p w14:paraId="49C0892D">
      <w:pPr>
        <w:pStyle w:val="30"/>
        <w:bidi w:val="0"/>
        <w:rPr>
          <w:rFonts w:hint="default"/>
          <w:lang w:val="en-US" w:eastAsia="zh-CN"/>
        </w:rPr>
      </w:pPr>
      <w:bookmarkStart w:id="8" w:name="_Toc12087"/>
      <w:r>
        <w:rPr>
          <w:rFonts w:hint="default"/>
          <w:lang w:val="en-US" w:eastAsia="zh-CN"/>
        </w:rPr>
        <w:t>受审核部门</w:t>
      </w:r>
      <w:bookmarkEnd w:id="8"/>
    </w:p>
    <w:p w14:paraId="29CA7E3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指定联络人，积极配合内审工作。</w:t>
      </w:r>
    </w:p>
    <w:p w14:paraId="22D694B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提供审核所需资源，确保审核顺利进行。</w:t>
      </w:r>
    </w:p>
    <w:p w14:paraId="15B20AF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确认审核发现的事实，针对不符合项分析原因并制定、实施纠正措施。</w:t>
      </w:r>
    </w:p>
    <w:p w14:paraId="62FDF63C">
      <w:pPr>
        <w:pStyle w:val="28"/>
        <w:bidi w:val="0"/>
        <w:rPr>
          <w:rFonts w:hint="default"/>
          <w:lang w:val="en-US" w:eastAsia="zh-CN"/>
        </w:rPr>
      </w:pPr>
      <w:bookmarkStart w:id="9" w:name="_Toc28980"/>
      <w:r>
        <w:rPr>
          <w:rFonts w:hint="default"/>
          <w:lang w:val="en-US" w:eastAsia="zh-CN"/>
        </w:rPr>
        <w:t>工作程序</w:t>
      </w:r>
      <w:bookmarkEnd w:id="9"/>
    </w:p>
    <w:p w14:paraId="77A97D32">
      <w:pPr>
        <w:pStyle w:val="30"/>
        <w:bidi w:val="0"/>
        <w:rPr>
          <w:rFonts w:hint="default"/>
          <w:lang w:val="en-US" w:eastAsia="zh-CN"/>
        </w:rPr>
      </w:pPr>
      <w:bookmarkStart w:id="10" w:name="_Toc9264"/>
      <w:r>
        <w:rPr>
          <w:rFonts w:hint="default"/>
          <w:lang w:val="en-US" w:eastAsia="zh-CN"/>
        </w:rPr>
        <w:t>审核频次与时机</w:t>
      </w:r>
      <w:bookmarkEnd w:id="10"/>
    </w:p>
    <w:p w14:paraId="7129D78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例行审核：公司每年至少组织一次覆盖全部相关部门和要素的完整内部审核，两次完整审核的时间间隔不超过12个月。</w:t>
      </w:r>
    </w:p>
    <w:p w14:paraId="7EB40A2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追加审核：当出现以下情况时，由质量管理部提议，报公司领导批准后，可追加安排专项或局部审核：</w:t>
      </w:r>
    </w:p>
    <w:p w14:paraId="4CF70BA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发生重大服务质量问题或客户严重投诉。</w:t>
      </w:r>
    </w:p>
    <w:p w14:paraId="3EDD997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组织机构、服务范围、技术环境发生重大变化。</w:t>
      </w:r>
    </w:p>
    <w:p w14:paraId="4C21364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为应对外部认证或客户审核前。</w:t>
      </w:r>
    </w:p>
    <w:p w14:paraId="3352B31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管理层认为有必要时。</w:t>
      </w:r>
    </w:p>
    <w:p w14:paraId="246DB319">
      <w:pPr>
        <w:pStyle w:val="30"/>
        <w:bidi w:val="0"/>
        <w:rPr>
          <w:rFonts w:hint="default"/>
          <w:lang w:val="en-US" w:eastAsia="zh-CN"/>
        </w:rPr>
      </w:pPr>
      <w:bookmarkStart w:id="11" w:name="_Toc30042"/>
      <w:r>
        <w:rPr>
          <w:rFonts w:hint="default"/>
          <w:lang w:val="en-US" w:eastAsia="zh-CN"/>
        </w:rPr>
        <w:t>审核策划</w:t>
      </w:r>
      <w:bookmarkEnd w:id="11"/>
    </w:p>
    <w:p w14:paraId="24D6425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每年年初，质量管理部基于风险思维、过程绩效及以往审核结果，策划并编制《年度内部审核计划》，明确审核目的、范围、依据、频次及大致时间安排，报公司领导批准。</w:t>
      </w:r>
    </w:p>
    <w:p w14:paraId="4D13689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每次具体审核前，审核组长需进行详细策划，编制《内部审核实施计划》，内容包括：审核目的、范围、依据、审核组成员及分工、受审核部门、审核日程、会议安排等。计划需提前通知受审核部门。</w:t>
      </w:r>
    </w:p>
    <w:p w14:paraId="5DA719E4">
      <w:pPr>
        <w:pStyle w:val="30"/>
        <w:bidi w:val="0"/>
        <w:rPr>
          <w:rFonts w:hint="default"/>
          <w:lang w:val="en-US" w:eastAsia="zh-CN"/>
        </w:rPr>
      </w:pPr>
      <w:bookmarkStart w:id="12" w:name="_Toc1199"/>
      <w:r>
        <w:rPr>
          <w:rFonts w:hint="default"/>
          <w:lang w:val="en-US" w:eastAsia="zh-CN"/>
        </w:rPr>
        <w:t>审核准备</w:t>
      </w:r>
      <w:bookmarkEnd w:id="12"/>
    </w:p>
    <w:p w14:paraId="38B9180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组建审核组：审核组成员应具备相应资格，且确保审核员不审核自己所在的部门，以保证审核的独立性、客观性。</w:t>
      </w:r>
    </w:p>
    <w:p w14:paraId="1C39627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编制检查表：审核组成员根据分工，依据审核准则和受审核部门的过程/文件，编制《内部审核检查表》，作为现场审核的提纲和记录工具。</w:t>
      </w:r>
    </w:p>
    <w:p w14:paraId="4E61E25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文件评审：审核组提前审阅受审核部门相关的体系文件，了解其要求。</w:t>
      </w:r>
    </w:p>
    <w:p w14:paraId="09EAAB5E">
      <w:pPr>
        <w:pStyle w:val="30"/>
        <w:bidi w:val="0"/>
        <w:rPr>
          <w:rFonts w:hint="default"/>
          <w:lang w:val="en-US" w:eastAsia="zh-CN"/>
        </w:rPr>
      </w:pPr>
      <w:bookmarkStart w:id="13" w:name="_Toc19108"/>
      <w:r>
        <w:rPr>
          <w:rFonts w:hint="default"/>
          <w:lang w:val="en-US" w:eastAsia="zh-CN"/>
        </w:rPr>
        <w:t>审核实施</w:t>
      </w:r>
      <w:bookmarkEnd w:id="13"/>
    </w:p>
    <w:p w14:paraId="69C41CA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首次会议：</w:t>
      </w:r>
    </w:p>
    <w:p w14:paraId="2A9DB54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9" w:name="_GoBack"/>
      <w:bookmarkEnd w:id="19"/>
      <w:r>
        <w:rPr>
          <w:rFonts w:hint="default"/>
          <w:lang w:val="en-US" w:eastAsia="zh-CN"/>
        </w:rPr>
        <w:t>由审核组长主持召开，公司领导、受审核部门负责人及审核组成员参加。会议明确审核计划、安排，确认沟通渠道。</w:t>
      </w:r>
    </w:p>
    <w:p w14:paraId="2AC9DF3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现场审核：</w:t>
      </w:r>
    </w:p>
    <w:p w14:paraId="67345CD2">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审核员通过访谈、观察、查阅文件和记录等方式，依据检查表收集客观证据。</w:t>
      </w:r>
    </w:p>
    <w:p w14:paraId="0503FBC4">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审核发现应予以记录，并与受审核方现场确认。</w:t>
      </w:r>
    </w:p>
    <w:p w14:paraId="33890D2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审核中发现的问题，按其严重程度分为：</w:t>
      </w:r>
    </w:p>
    <w:p w14:paraId="798BD81C">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严重不符合项：系统性或区域性失效；可能导致严重后果；重复发生且未有效纠正。</w:t>
      </w:r>
    </w:p>
    <w:p w14:paraId="477875BE">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一般不符合项：孤立的、偶然的人为错误；对体系运行无重大影响。</w:t>
      </w:r>
    </w:p>
    <w:p w14:paraId="137E4406">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观察项：潜在的问题或可改进的领域，尚未构成不符合，但需引起注意。</w:t>
      </w:r>
    </w:p>
    <w:p w14:paraId="74A0ABE3">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不符合项报告：对于确认的不符合项，审核员应填写《不符合项报告》，清晰描述事实，判定不符合的条款及类型，并由受审核部门负责人确认。</w:t>
      </w:r>
    </w:p>
    <w:p w14:paraId="0C30508B">
      <w:pPr>
        <w:pStyle w:val="30"/>
        <w:bidi w:val="0"/>
        <w:rPr>
          <w:rFonts w:hint="default"/>
          <w:lang w:val="en-US" w:eastAsia="zh-CN"/>
        </w:rPr>
      </w:pPr>
      <w:bookmarkStart w:id="14" w:name="_Toc26524"/>
      <w:r>
        <w:rPr>
          <w:rFonts w:hint="default"/>
          <w:lang w:val="en-US" w:eastAsia="zh-CN"/>
        </w:rPr>
        <w:t>审核报告与总结</w:t>
      </w:r>
      <w:bookmarkEnd w:id="14"/>
    </w:p>
    <w:p w14:paraId="3F516A7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末次会议：现场审核结束后，审核组长主持召开末次会议，报告审核发现和结论，宣读不符合项报告。</w:t>
      </w:r>
    </w:p>
    <w:p w14:paraId="060339A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审核报告：审核结束后，审核组长编制《内部审核报告》，全面总结审核情况、不符合项分布、体系运行有效性评价及结论。报告经批准后分发至相关部门及公司领导。</w:t>
      </w:r>
    </w:p>
    <w:p w14:paraId="32BA811C">
      <w:pPr>
        <w:pStyle w:val="30"/>
        <w:bidi w:val="0"/>
        <w:rPr>
          <w:rFonts w:hint="default"/>
          <w:lang w:val="en-US" w:eastAsia="zh-CN"/>
        </w:rPr>
      </w:pPr>
      <w:bookmarkStart w:id="15" w:name="_Toc9245"/>
      <w:r>
        <w:rPr>
          <w:rFonts w:hint="default"/>
          <w:lang w:val="en-US" w:eastAsia="zh-CN"/>
        </w:rPr>
        <w:t>纠正措施与跟踪验证</w:t>
      </w:r>
      <w:bookmarkEnd w:id="15"/>
    </w:p>
    <w:p w14:paraId="6A660A3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受审核部门在收到《不符合项报告》后，应分析根本原因，制定具体的纠正与预防措施及完成期限，并组织实施。</w:t>
      </w:r>
    </w:p>
    <w:p w14:paraId="15E70ED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审核组长或其指定的审核员（通常为质量管理专员）负责对纠正措施的实施情况进行跟踪验证，确保措施有效并已关闭。</w:t>
      </w:r>
    </w:p>
    <w:p w14:paraId="7E3BDB1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验证结果应记录。对于未能有效关闭的不符合项，应升级处理。</w:t>
      </w:r>
    </w:p>
    <w:p w14:paraId="62CCDDEA">
      <w:pPr>
        <w:pStyle w:val="30"/>
        <w:bidi w:val="0"/>
        <w:rPr>
          <w:rFonts w:hint="default"/>
          <w:lang w:val="en-US" w:eastAsia="zh-CN"/>
        </w:rPr>
      </w:pPr>
      <w:bookmarkStart w:id="16" w:name="_Toc21643"/>
      <w:r>
        <w:rPr>
          <w:rFonts w:hint="default"/>
          <w:lang w:val="en-US" w:eastAsia="zh-CN"/>
        </w:rPr>
        <w:t>记录与档案</w:t>
      </w:r>
      <w:bookmarkEnd w:id="16"/>
    </w:p>
    <w:p w14:paraId="37CFACC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质量管理部负责保存内审全过程的记录，形成完整档案，至少包括：</w:t>
      </w:r>
    </w:p>
    <w:p w14:paraId="7BBB7DE6">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《年度内部审核计划》</w:t>
      </w:r>
    </w:p>
    <w:p w14:paraId="0E8C3D0D">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《内部审核实施计划》</w:t>
      </w:r>
    </w:p>
    <w:p w14:paraId="3C21D92A">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《内部审核检查表》</w:t>
      </w:r>
    </w:p>
    <w:p w14:paraId="5104B0BA">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《不符合项报告》</w:t>
      </w:r>
    </w:p>
    <w:p w14:paraId="57AAA5F1">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《内部审核报告》</w:t>
      </w:r>
    </w:p>
    <w:p w14:paraId="6465F12D">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《纠正措施跟踪验证记录》</w:t>
      </w:r>
    </w:p>
    <w:p w14:paraId="5F000F4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28895"/>
      <w:r>
        <w:rPr>
          <w:rFonts w:hint="eastAsia"/>
          <w:lang w:val="en-US" w:eastAsia="zh-CN"/>
        </w:rPr>
        <w:t>考核指标</w:t>
      </w:r>
      <w:bookmarkEnd w:id="17"/>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63"/>
        <w:gridCol w:w="1152"/>
        <w:gridCol w:w="3552"/>
        <w:gridCol w:w="1308"/>
      </w:tblGrid>
      <w:tr w14:paraId="16475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ED74F2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KPI</w:t>
            </w:r>
          </w:p>
        </w:tc>
        <w:tc>
          <w:tcPr>
            <w:tcW w:w="11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1432508">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目标值</w:t>
            </w:r>
          </w:p>
        </w:tc>
        <w:tc>
          <w:tcPr>
            <w:tcW w:w="35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3975C5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计算公式/方法</w:t>
            </w:r>
          </w:p>
        </w:tc>
        <w:tc>
          <w:tcPr>
            <w:tcW w:w="1308"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F6E471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频度</w:t>
            </w:r>
          </w:p>
        </w:tc>
      </w:tr>
      <w:tr w14:paraId="38874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539196">
            <w:pPr>
              <w:keepNext w:val="0"/>
              <w:keepLines w:val="0"/>
              <w:widowControl/>
              <w:suppressLineNumbers w:val="0"/>
              <w:ind w:left="0" w:leftChars="0" w:right="0" w:rightChars="0" w:firstLine="0" w:firstLineChars="0"/>
              <w:jc w:val="center"/>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内审次数</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0B85C7">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≥1次</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FC6539">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数量，内审报告数量</w:t>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3E3678">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年度</w:t>
            </w:r>
          </w:p>
        </w:tc>
      </w:tr>
    </w:tbl>
    <w:p w14:paraId="45C3A46E">
      <w:pPr>
        <w:pStyle w:val="28"/>
        <w:bidi w:val="0"/>
        <w:rPr>
          <w:rFonts w:hint="default"/>
          <w:lang w:val="en-US" w:eastAsia="zh-CN"/>
        </w:rPr>
      </w:pPr>
      <w:bookmarkStart w:id="18" w:name="_Toc13501"/>
      <w:r>
        <w:rPr>
          <w:rFonts w:hint="default"/>
          <w:lang w:val="en-US" w:eastAsia="zh-CN"/>
        </w:rPr>
        <w:t>附则</w:t>
      </w:r>
      <w:bookmarkEnd w:id="18"/>
    </w:p>
    <w:p w14:paraId="7450531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本制度由质量管理部负责解释与修订。</w:t>
      </w:r>
    </w:p>
    <w:p w14:paraId="2342856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本制度自发布之日起正式实施。</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53B1DB">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43DCA62"/>
    <w:multiLevelType w:val="singleLevel"/>
    <w:tmpl w:val="C43DCA62"/>
    <w:lvl w:ilvl="0" w:tentative="0">
      <w:start w:val="1"/>
      <w:numFmt w:val="decimal"/>
      <w:lvlText w:val="%1."/>
      <w:lvlJc w:val="left"/>
      <w:pPr>
        <w:ind w:left="425" w:hanging="425"/>
      </w:pPr>
      <w:rPr>
        <w:rFonts w:hint="default"/>
      </w:rPr>
    </w:lvl>
  </w:abstractNum>
  <w:abstractNum w:abstractNumId="2">
    <w:nsid w:val="241F447C"/>
    <w:multiLevelType w:val="singleLevel"/>
    <w:tmpl w:val="241F447C"/>
    <w:lvl w:ilvl="0" w:tentative="0">
      <w:start w:val="1"/>
      <w:numFmt w:val="decimal"/>
      <w:lvlText w:val="%1."/>
      <w:lvlJc w:val="left"/>
      <w:pPr>
        <w:ind w:left="425" w:hanging="425"/>
      </w:pPr>
      <w:rPr>
        <w:rFonts w:hint="default"/>
      </w:rPr>
    </w:lvl>
  </w:abstractNum>
  <w:abstractNum w:abstractNumId="3">
    <w:nsid w:val="653842F0"/>
    <w:multiLevelType w:val="singleLevel"/>
    <w:tmpl w:val="653842F0"/>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14A028F"/>
    <w:rsid w:val="11D56785"/>
    <w:rsid w:val="195C14A3"/>
    <w:rsid w:val="19E40CE7"/>
    <w:rsid w:val="1E126BBA"/>
    <w:rsid w:val="249C4E4A"/>
    <w:rsid w:val="312C6678"/>
    <w:rsid w:val="3689462D"/>
    <w:rsid w:val="38D26C34"/>
    <w:rsid w:val="3A575643"/>
    <w:rsid w:val="407A208B"/>
    <w:rsid w:val="4BFC429C"/>
    <w:rsid w:val="506B19F1"/>
    <w:rsid w:val="50A66269"/>
    <w:rsid w:val="521D6D1B"/>
    <w:rsid w:val="54BC7D1F"/>
    <w:rsid w:val="5885113D"/>
    <w:rsid w:val="5EDA14C9"/>
    <w:rsid w:val="77F35CA4"/>
    <w:rsid w:val="782A3C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1994</Words>
  <Characters>2090</Characters>
  <Lines>0</Lines>
  <Paragraphs>0</Paragraphs>
  <TotalTime>0</TotalTime>
  <ScaleCrop>false</ScaleCrop>
  <LinksUpToDate>false</LinksUpToDate>
  <CharactersWithSpaces>2161</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2026-01-27T05:41:42Z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