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309A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047"/>
      <w:bookmarkStart w:id="1" w:name="_Toc3006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  <w:bookmarkEnd w:id="1"/>
    </w:p>
    <w:p w14:paraId="51F8E1D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12004"/>
      <w:r>
        <w:rPr>
          <w:rFonts w:hint="eastAsia"/>
          <w:lang w:val="en-US" w:eastAsia="zh-CN"/>
        </w:rPr>
        <w:t>2025年（1-11月）人员管理报告</w:t>
      </w:r>
      <w:bookmarkEnd w:id="2"/>
    </w:p>
    <w:p w14:paraId="4EBED9C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E472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7ABA2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C249C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6DE4E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17159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D5D9B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3BCBD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65225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7890B1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09C570D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9982A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DE423B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4C055F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A5A15F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_Toc30063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1C411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2025年（1-11月）人员管理报告</w:t>
          </w:r>
          <w:r>
            <w:tab/>
          </w:r>
          <w:r>
            <w:fldChar w:fldCharType="begin"/>
          </w:r>
          <w:r>
            <w:instrText xml:space="preserve"> PAGEREF _Toc12004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71700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_Toc29428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EE67F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计划执行成果</w:t>
          </w:r>
          <w:r>
            <w:tab/>
          </w:r>
          <w:r>
            <w:fldChar w:fldCharType="begin"/>
          </w:r>
          <w:r>
            <w:instrText xml:space="preserve"> PAGEREF _Toc18156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8C97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_Toc22078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CF81C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人员招聘情况概况</w:t>
          </w:r>
          <w:r>
            <w:tab/>
          </w:r>
          <w:r>
            <w:fldChar w:fldCharType="begin"/>
          </w:r>
          <w:r>
            <w:instrText xml:space="preserve"> PAGEREF _Toc905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F0B75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人员招聘情况详情</w:t>
          </w:r>
          <w:r>
            <w:tab/>
          </w:r>
          <w:r>
            <w:fldChar w:fldCharType="begin"/>
          </w:r>
          <w:r>
            <w:instrText xml:space="preserve"> PAGEREF _Toc13078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60030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人员招聘KPI完成情况</w:t>
          </w:r>
          <w:r>
            <w:tab/>
          </w:r>
          <w:r>
            <w:fldChar w:fldCharType="begin"/>
          </w:r>
          <w:r>
            <w:instrText xml:space="preserve"> PAGEREF _Toc25235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6A90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_Toc11359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4176A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人员储备情况概述</w:t>
          </w:r>
          <w:r>
            <w:tab/>
          </w:r>
          <w:r>
            <w:fldChar w:fldCharType="begin"/>
          </w:r>
          <w:r>
            <w:instrText xml:space="preserve"> PAGEREF _Toc20006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17A7A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人员储备情况详情</w:t>
          </w:r>
          <w:r>
            <w:tab/>
          </w:r>
          <w:r>
            <w:fldChar w:fldCharType="begin"/>
          </w:r>
          <w:r>
            <w:instrText xml:space="preserve"> PAGEREF _Toc4988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F73FA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2.2.3. </w:t>
          </w:r>
          <w:r>
            <w:rPr>
              <w:rFonts w:hint="eastAsia"/>
              <w:lang w:val="en-US" w:eastAsia="zh-CN"/>
            </w:rPr>
            <w:t>人员储备KPI完成情况</w:t>
          </w:r>
          <w:r>
            <w:tab/>
          </w:r>
          <w:r>
            <w:fldChar w:fldCharType="begin"/>
          </w:r>
          <w:r>
            <w:instrText xml:space="preserve"> PAGEREF _Toc2793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6769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_Toc14342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F3E50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人员培训情况概况</w:t>
          </w:r>
          <w:r>
            <w:tab/>
          </w:r>
          <w:r>
            <w:fldChar w:fldCharType="begin"/>
          </w:r>
          <w:r>
            <w:instrText xml:space="preserve"> PAGEREF _Toc31092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2A0BC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人员培训情况详情</w:t>
          </w:r>
          <w:r>
            <w:tab/>
          </w:r>
          <w:r>
            <w:fldChar w:fldCharType="begin"/>
          </w:r>
          <w:r>
            <w:instrText xml:space="preserve"> PAGEREF _Toc4620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B1D5A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2.3.3. </w:t>
          </w:r>
          <w:r>
            <w:rPr>
              <w:rFonts w:hint="eastAsia"/>
              <w:lang w:val="en-US" w:eastAsia="zh-CN"/>
            </w:rPr>
            <w:t>人员培训KPI完成情况</w:t>
          </w:r>
          <w:r>
            <w:tab/>
          </w:r>
          <w:r>
            <w:fldChar w:fldCharType="begin"/>
          </w:r>
          <w:r>
            <w:instrText xml:space="preserve"> PAGEREF _Toc19466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DF61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_Toc882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01E0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人员备份情况概述</w:t>
          </w:r>
          <w:r>
            <w:tab/>
          </w:r>
          <w:r>
            <w:fldChar w:fldCharType="begin"/>
          </w:r>
          <w:r>
            <w:instrText xml:space="preserve"> PAGEREF _Toc6913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BBA34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人员备份情况详情</w:t>
          </w:r>
          <w:r>
            <w:tab/>
          </w:r>
          <w:r>
            <w:fldChar w:fldCharType="begin"/>
          </w:r>
          <w:r>
            <w:instrText xml:space="preserve"> PAGEREF _Toc4397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A49E7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2.4.3. </w:t>
          </w:r>
          <w:r>
            <w:rPr>
              <w:rFonts w:hint="eastAsia"/>
              <w:lang w:val="en-US" w:eastAsia="zh-CN"/>
            </w:rPr>
            <w:t>人员备份KPI完成情况</w:t>
          </w:r>
          <w:r>
            <w:tab/>
          </w:r>
          <w:r>
            <w:fldChar w:fldCharType="begin"/>
          </w:r>
          <w:r>
            <w:instrText xml:space="preserve"> PAGEREF _Toc21903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A380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_Toc15208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93562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2.5.1. </w:t>
          </w:r>
          <w:r>
            <w:rPr>
              <w:rFonts w:hint="eastAsia"/>
              <w:lang w:val="en-US" w:eastAsia="zh-CN"/>
            </w:rPr>
            <w:t>人员绩效考核概况</w:t>
          </w:r>
          <w:r>
            <w:tab/>
          </w:r>
          <w:r>
            <w:fldChar w:fldCharType="begin"/>
          </w:r>
          <w:r>
            <w:instrText xml:space="preserve"> PAGEREF _Toc14803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8BC53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人员绩效考核详情</w:t>
          </w:r>
          <w:r>
            <w:tab/>
          </w:r>
          <w:r>
            <w:fldChar w:fldCharType="begin"/>
          </w:r>
          <w:r>
            <w:instrText xml:space="preserve"> PAGEREF _Toc5084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77CB0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2.5.3. </w:t>
          </w:r>
          <w:r>
            <w:rPr>
              <w:rFonts w:hint="eastAsia"/>
              <w:lang w:val="en-US" w:eastAsia="zh-CN"/>
            </w:rPr>
            <w:t>人员绩效考核KPI完成情况</w:t>
          </w:r>
          <w:r>
            <w:tab/>
          </w:r>
          <w:r>
            <w:fldChar w:fldCharType="begin"/>
          </w:r>
          <w:r>
            <w:instrText xml:space="preserve"> PAGEREF _Toc5716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4BC9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_Toc27617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A7B22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2.6.1. </w:t>
          </w:r>
          <w:r>
            <w:rPr>
              <w:rFonts w:hint="eastAsia"/>
              <w:lang w:val="en-US" w:eastAsia="zh-CN"/>
            </w:rPr>
            <w:t>人员技能评定概况</w:t>
          </w:r>
          <w:r>
            <w:tab/>
          </w:r>
          <w:r>
            <w:fldChar w:fldCharType="begin"/>
          </w:r>
          <w:r>
            <w:instrText xml:space="preserve"> PAGEREF _Toc26702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6913D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2.6.2. </w:t>
          </w:r>
          <w:r>
            <w:rPr>
              <w:rFonts w:hint="eastAsia"/>
              <w:lang w:val="en-US" w:eastAsia="zh-CN"/>
            </w:rPr>
            <w:t>人员技能评定详情</w:t>
          </w:r>
          <w:r>
            <w:tab/>
          </w:r>
          <w:r>
            <w:fldChar w:fldCharType="begin"/>
          </w:r>
          <w:r>
            <w:instrText xml:space="preserve"> PAGEREF _Toc32765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F48D9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2.6.3. </w:t>
          </w:r>
          <w:r>
            <w:rPr>
              <w:rFonts w:hint="eastAsia"/>
              <w:lang w:val="en-US" w:eastAsia="zh-CN"/>
            </w:rPr>
            <w:t>人员技能评定KPI完成情况</w:t>
          </w:r>
          <w:r>
            <w:tab/>
          </w:r>
          <w:r>
            <w:fldChar w:fldCharType="begin"/>
          </w:r>
          <w:r>
            <w:instrText xml:space="preserve"> PAGEREF _Toc17791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76A7B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F70772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4D448C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9428"/>
      <w:r>
        <w:rPr>
          <w:rFonts w:hint="eastAsia"/>
        </w:rPr>
        <w:t>总体成就与现状总结</w:t>
      </w:r>
      <w:bookmarkEnd w:id="3"/>
    </w:p>
    <w:p w14:paraId="7B8E0B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本报告旨在系统总结《2025年度人员管理计划》自年初至11月底的执行情况。总体而言，计划执行基本符合预期，在人员招聘、培训体系搭建及关键岗位风险管控方面取得了阶段性成果，为全年业务目标的达成提供了稳定的人力资源支撑。报告从招聘、储备、培训、备份、绩效及技能评定准备六大模块进行复盘，并对年底重点工作及下一年度规划提出建议。</w:t>
      </w:r>
    </w:p>
    <w:p w14:paraId="6D3EE19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8156"/>
      <w:r>
        <w:rPr>
          <w:rFonts w:hint="eastAsia"/>
          <w:lang w:val="en-US" w:eastAsia="zh-CN"/>
        </w:rPr>
        <w:t>计划执行成果</w:t>
      </w:r>
      <w:bookmarkEnd w:id="4"/>
    </w:p>
    <w:p w14:paraId="1C7EFB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078"/>
      <w:r>
        <w:rPr>
          <w:rFonts w:hint="eastAsia"/>
          <w:lang w:val="en-US" w:eastAsia="zh-CN"/>
        </w:rPr>
        <w:t>人员招聘完成情况</w:t>
      </w:r>
      <w:bookmarkEnd w:id="5"/>
    </w:p>
    <w:p w14:paraId="02C4CC1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905"/>
      <w:r>
        <w:rPr>
          <w:rFonts w:hint="eastAsia"/>
          <w:lang w:val="en-US" w:eastAsia="zh-CN"/>
        </w:rPr>
        <w:t>人员招聘情况概况</w:t>
      </w:r>
      <w:bookmarkEnd w:id="6"/>
    </w:p>
    <w:p w14:paraId="5B3F07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截止2025年11月，人员招聘计划全部完成。共计5个岗位招聘11人。</w:t>
      </w:r>
    </w:p>
    <w:p w14:paraId="4AE7D9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运维工程师团队按2月、5月、6月、7月四个批次稳健扩充，6人全部到位。</w:t>
      </w:r>
    </w:p>
    <w:p w14:paraId="4BC523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研发力量（开发、测试工程师）按3月、6月计划及时补充。</w:t>
      </w:r>
    </w:p>
    <w:p w14:paraId="49111D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服务交付前端与知识管理岗位（服务台专员、服务知识专员）按4月、8月计划配置完成。</w:t>
      </w:r>
    </w:p>
    <w:p w14:paraId="4F44D5E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3078"/>
      <w:r>
        <w:rPr>
          <w:rFonts w:hint="eastAsia"/>
          <w:lang w:val="en-US" w:eastAsia="zh-CN"/>
        </w:rPr>
        <w:t>人员招聘情况详情</w:t>
      </w:r>
      <w:bookmarkEnd w:id="7"/>
    </w:p>
    <w:p w14:paraId="444BAC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招聘计划完成情况如下：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506"/>
        <w:gridCol w:w="1717"/>
        <w:gridCol w:w="1722"/>
        <w:gridCol w:w="1723"/>
        <w:gridCol w:w="1182"/>
      </w:tblGrid>
      <w:tr w14:paraId="5495F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C376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361C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需求部门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EF08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17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C0CF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计划完成时间</w:t>
            </w:r>
          </w:p>
        </w:tc>
        <w:tc>
          <w:tcPr>
            <w:tcW w:w="17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D71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实际完成时间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632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3E469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9ABB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7B6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7B75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A98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2025年2月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023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2025年2月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9745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4052A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400C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093D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B13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开发工程师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9598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2025年3月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FAB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2025年3月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91DE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11E5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1A98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56C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EA3C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7C0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2025年4月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A94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2025年4月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4251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6BF20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7202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E7FE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FB1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7BE9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2025年5月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27D7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2025年5月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777F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1D418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4EF7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1C7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5E8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4FE9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836E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415E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5FD4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7464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777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A6F5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406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218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8729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60F1F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8131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4EB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E02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4415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2025年7月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C08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2025年7月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1365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094F3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96BA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735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服务知识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71F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服务知识专员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9FF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2025年8月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2DD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2025年8月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8F05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</w:tbl>
    <w:p w14:paraId="6E74A92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5235"/>
      <w:r>
        <w:rPr>
          <w:rFonts w:hint="eastAsia"/>
          <w:lang w:val="en-US" w:eastAsia="zh-CN"/>
        </w:rPr>
        <w:t>人员招聘KPI完成情况</w:t>
      </w:r>
      <w:bookmarkEnd w:id="8"/>
    </w:p>
    <w:p w14:paraId="6A587A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人员招聘的考核指标是每季度招聘计划达成率，计算方式为：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 w:bidi="ar"/>
        </w:rPr>
        <w:t>实际聘用人数/计划招聘人数*100%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 w:bidi="ar"/>
        </w:rPr>
        <w:t>。目标值是≥95%。</w:t>
      </w:r>
    </w:p>
    <w:p w14:paraId="7DEC80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截止2025年11月，每季度均按时完成招聘计划，招聘计划达成率为100%。满足考核指标要求。</w:t>
      </w:r>
    </w:p>
    <w:p w14:paraId="4B41EDF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1359"/>
      <w:r>
        <w:rPr>
          <w:rFonts w:hint="eastAsia"/>
          <w:lang w:val="en-US" w:eastAsia="zh-CN"/>
        </w:rPr>
        <w:t>人员储备完成情况</w:t>
      </w:r>
      <w:bookmarkEnd w:id="9"/>
    </w:p>
    <w:p w14:paraId="2A64778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0006"/>
      <w:r>
        <w:rPr>
          <w:rFonts w:hint="eastAsia"/>
          <w:lang w:val="en-US" w:eastAsia="zh-CN"/>
        </w:rPr>
        <w:t>人员储备情况概述</w:t>
      </w:r>
      <w:bookmarkEnd w:id="10"/>
    </w:p>
    <w:p w14:paraId="56AD6A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t>年度关键岗位储备工作</w:t>
      </w:r>
      <w:r>
        <w:rPr>
          <w:rFonts w:hint="default"/>
        </w:rPr>
        <w:t>已全部按计划完成。成功识别并确定了储备岗位名录，通过严格的选拔与评估，已为各岗位建立储备人才库，并纳入专项培养体系，为核心管理岗位提供了合格的后备力量。</w:t>
      </w:r>
    </w:p>
    <w:p w14:paraId="655777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人员储备计划取得以下成果：</w:t>
      </w:r>
    </w:p>
    <w:p w14:paraId="0B505C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前瞻性人才布局：严格依据业务影响度、人才稀缺性、岗位稳定性三项原则，完成了对三个核心管理岗位的储备规划与实施，有效规避了人才断层风险。</w:t>
      </w:r>
    </w:p>
    <w:p w14:paraId="5218A9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标准化选拔与入库：储备人选的选拔遵循“德才兼备、潜力优先”原则，结合绩效、能力与发展意愿进行综合评议。入选人员已全部纳入公司“关键岗位储备人才库”统一管理。</w:t>
      </w:r>
    </w:p>
    <w:p w14:paraId="3B1154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体系化培养启动：所有储备人员均已启动个性化的“岗位储备培养计划”，通过参与高层次会议、承担专项任务、接受A角导师辅导等方式进行实战化培养，为其未来胜任目标岗位奠定基础。</w:t>
      </w:r>
    </w:p>
    <w:p w14:paraId="158ED8D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4988"/>
      <w:r>
        <w:rPr>
          <w:rFonts w:hint="eastAsia"/>
          <w:lang w:val="en-US" w:eastAsia="zh-CN"/>
        </w:rPr>
        <w:t>人员储备情况详情</w:t>
      </w:r>
      <w:bookmarkEnd w:id="11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7"/>
        <w:gridCol w:w="1672"/>
        <w:gridCol w:w="1154"/>
        <w:gridCol w:w="1582"/>
        <w:gridCol w:w="3487"/>
      </w:tblGrid>
      <w:tr w14:paraId="0581A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2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2109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16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339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储备岗位</w:t>
            </w:r>
          </w:p>
        </w:tc>
        <w:tc>
          <w:tcPr>
            <w:tcW w:w="115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EE4B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计划储备人数</w:t>
            </w:r>
          </w:p>
        </w:tc>
        <w:tc>
          <w:tcPr>
            <w:tcW w:w="15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3C3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计划完成时间</w:t>
            </w:r>
          </w:p>
        </w:tc>
        <w:tc>
          <w:tcPr>
            <w:tcW w:w="34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1BB7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实际完成情况</w:t>
            </w:r>
          </w:p>
        </w:tc>
      </w:tr>
      <w:tr w14:paraId="15A1E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36B7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1CD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数智运营部经理</w:t>
            </w:r>
          </w:p>
        </w:tc>
        <w:tc>
          <w:tcPr>
            <w:tcW w:w="1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DFF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2人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B72F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2025年3月</w:t>
            </w:r>
          </w:p>
        </w:tc>
        <w:tc>
          <w:tcPr>
            <w:tcW w:w="3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F2F4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已按计划于3月完成2名储备人选确定并启动培养</w:t>
            </w:r>
          </w:p>
        </w:tc>
      </w:tr>
      <w:tr w14:paraId="2361F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66C4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2672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研究总院经理</w:t>
            </w:r>
          </w:p>
        </w:tc>
        <w:tc>
          <w:tcPr>
            <w:tcW w:w="1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97E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1AF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2025年4月</w:t>
            </w:r>
          </w:p>
        </w:tc>
        <w:tc>
          <w:tcPr>
            <w:tcW w:w="3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7B20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已按计划于4月完成1名储备人选确定并启动培养</w:t>
            </w:r>
          </w:p>
        </w:tc>
      </w:tr>
      <w:tr w14:paraId="6A328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32CD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69F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质量管理部经理</w:t>
            </w:r>
          </w:p>
        </w:tc>
        <w:tc>
          <w:tcPr>
            <w:tcW w:w="11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4DB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0DA6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2025年7月</w:t>
            </w:r>
          </w:p>
        </w:tc>
        <w:tc>
          <w:tcPr>
            <w:tcW w:w="34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D2F4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已按计划于7月完成1名储备人选确定并启动培养</w:t>
            </w:r>
          </w:p>
        </w:tc>
      </w:tr>
    </w:tbl>
    <w:p w14:paraId="539E1F7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793"/>
      <w:r>
        <w:rPr>
          <w:rFonts w:hint="eastAsia"/>
          <w:lang w:val="en-US" w:eastAsia="zh-CN"/>
        </w:rPr>
        <w:t>人员储备KPI完成情况</w:t>
      </w:r>
      <w:bookmarkEnd w:id="12"/>
    </w:p>
    <w:p w14:paraId="129652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人员储备的考核指标是每季度储备计划完成率，计算方式为：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 w:bidi="ar"/>
        </w:rPr>
        <w:t>实际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 w:bidi="ar"/>
        </w:rPr>
        <w:t>完成储备人员数量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 w:bidi="ar"/>
        </w:rPr>
        <w:t>/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 w:bidi="ar"/>
        </w:rPr>
        <w:t>应储备人员总数量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 w:bidi="ar"/>
        </w:rPr>
        <w:t>*100%</w:t>
      </w:r>
      <w:r>
        <w:rPr>
          <w:rFonts w:hint="eastAsia" w:ascii="宋体" w:hAnsi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 w:bidi="ar"/>
        </w:rPr>
        <w:t>。目标值是≥95%。</w:t>
      </w:r>
    </w:p>
    <w:p w14:paraId="2D6507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截止2025年11月，每季度均按时完成储备计划，储备计划达成率为100%。满足考核指标要求。</w:t>
      </w:r>
    </w:p>
    <w:p w14:paraId="4BD98FB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4342"/>
      <w:r>
        <w:rPr>
          <w:rFonts w:hint="eastAsia"/>
          <w:lang w:val="en-US" w:eastAsia="zh-CN"/>
        </w:rPr>
        <w:t>人员培训完成情况</w:t>
      </w:r>
      <w:bookmarkEnd w:id="13"/>
    </w:p>
    <w:p w14:paraId="660830F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31092"/>
      <w:r>
        <w:rPr>
          <w:rFonts w:hint="eastAsia"/>
          <w:lang w:val="en-US" w:eastAsia="zh-CN"/>
        </w:rPr>
        <w:t>人员培训情况概况</w:t>
      </w:r>
      <w:bookmarkEnd w:id="14"/>
    </w:p>
    <w:p w14:paraId="433D97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t>全年规划的</w:t>
      </w:r>
      <w:r>
        <w:rPr>
          <w:rFonts w:hint="default"/>
        </w:rPr>
        <w:t>13项培训项目已全部100%按计划完成。培训内容覆盖公司文化、服务流程、专业技术及管理能力，形成了完整的培训矩阵，有效支持了员工岗位技能与综合素质的提升。</w:t>
      </w:r>
    </w:p>
    <w:p w14:paraId="0557BC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培训取得了以下成果：</w:t>
      </w:r>
    </w:p>
    <w:p w14:paraId="2AD6F3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全面覆盖，按需施教：培训实现了对公司“运维”与“研发”两大核心序列员工的全覆盖，并针对不同序列的特点（如运维重流程与应急、研发重架构与技术）设计了针对性课程。</w:t>
      </w:r>
    </w:p>
    <w:p w14:paraId="229A76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体系完整，紧扣业务：从通识类（ITSS、员工手册）到意识类（服务意识、信息安全），再到专业技能类（工具、架构、技术）与管理类，培训体系层次分明，紧密围绕软件运维服务业务需求展开。</w:t>
      </w:r>
    </w:p>
    <w:p w14:paraId="06EC3F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闭环管理，注重实效：所有培训均执行了“效果评估与记录”流程，通过即时反馈与行为跟踪，确保培训知识向工作技能的转化。累计完成培训课时29小时，人均参训3.5次，关键岗位年度培训覆盖率达100%。</w:t>
      </w:r>
    </w:p>
    <w:p w14:paraId="3F0020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预算可控，价值凸显：在严格控制内部培训成本的同时，合理投入外部专家资源（如Java架构、管理能力提升），实现了成本与培训质量的平衡，总费用控制在预算之内。</w:t>
      </w:r>
    </w:p>
    <w:p w14:paraId="00672AA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4620"/>
      <w:r>
        <w:rPr>
          <w:rFonts w:hint="eastAsia"/>
          <w:lang w:val="en-US" w:eastAsia="zh-CN"/>
        </w:rPr>
        <w:t>人员培训情况详情</w:t>
      </w:r>
      <w:bookmarkEnd w:id="15"/>
    </w:p>
    <w:p w14:paraId="1E7B1E91">
      <w:pPr>
        <w:pStyle w:val="29"/>
        <w:rPr>
          <w:rFonts w:hint="eastAsia"/>
          <w:lang w:val="en-US" w:eastAsia="zh-CN"/>
        </w:rPr>
      </w:pPr>
    </w:p>
    <w:p w14:paraId="3362DB42">
      <w:pPr>
        <w:pStyle w:val="29"/>
        <w:rPr>
          <w:rFonts w:hint="eastAsia"/>
          <w:lang w:val="en-US" w:eastAsia="zh-CN"/>
        </w:rPr>
      </w:pPr>
      <w:bookmarkStart w:id="30" w:name="_GoBack"/>
      <w:bookmarkEnd w:id="30"/>
    </w:p>
    <w:tbl>
      <w:tblPr>
        <w:tblStyle w:val="2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2400"/>
        <w:gridCol w:w="1457"/>
        <w:gridCol w:w="1608"/>
        <w:gridCol w:w="1608"/>
        <w:gridCol w:w="817"/>
      </w:tblGrid>
      <w:tr w14:paraId="3D6E9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10A5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D32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项目名称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CAA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E0B7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实际完成时间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6A7E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培训对象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E9B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6BA6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DDBE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15D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ITSS运维体系培训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DCEC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E8F9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9CDC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1AC2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334E8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460C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7C3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人员备份培训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721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070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3ED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08F9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3E7B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062B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BAA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服务意识培训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FE0A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D129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172D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567F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35549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DBA9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8BA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运维工具培训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82D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2D8D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3E37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9C2A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3AD51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CB40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0A9E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工单系统培训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91C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469F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346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3697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0547D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92F2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CF5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员工手册培训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EB4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2711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84D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7BBA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27D0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5DF2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818A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F20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BA0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625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C074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5410A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4701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BE8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Java架构培训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113C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C62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7A1D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E278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53D2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9627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B19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信息安全培训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649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1E3A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A87D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8019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64553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DA43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6C3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服务台规范培训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BCE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E1D7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87F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2FFD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6073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3B29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F03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管理能力提升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FC5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B13B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3A9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A281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1EC63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95D6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B45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日常运维典型案例分析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6585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C97F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4221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088D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0D49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F5C6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67F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前端技术培训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F8F2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0E4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EDA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4520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</w:tbl>
    <w:p w14:paraId="72C6523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9466"/>
      <w:r>
        <w:rPr>
          <w:rFonts w:hint="eastAsia"/>
          <w:lang w:val="en-US" w:eastAsia="zh-CN"/>
        </w:rPr>
        <w:t>人员培训KPI完成情况</w:t>
      </w:r>
      <w:bookmarkEnd w:id="16"/>
    </w:p>
    <w:p w14:paraId="6735D4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人员培训的考核指标是每季度培训计划完成率，计算方式为：实际培训次数/应培训次数*100%。目标值是≥95%。</w:t>
      </w:r>
    </w:p>
    <w:p w14:paraId="1DD8E4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截止2025年11月，每季度均按时完成培训计划，培训计划达成率为100%。满足考核指标要求。</w:t>
      </w:r>
    </w:p>
    <w:p w14:paraId="719082F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882"/>
      <w:r>
        <w:rPr>
          <w:rFonts w:hint="eastAsia"/>
          <w:lang w:val="en-US" w:eastAsia="zh-CN"/>
        </w:rPr>
        <w:t>人员备份完成情况</w:t>
      </w:r>
      <w:bookmarkEnd w:id="17"/>
    </w:p>
    <w:p w14:paraId="0FBF61D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6913"/>
      <w:r>
        <w:rPr>
          <w:rFonts w:hint="eastAsia"/>
          <w:lang w:val="en-US" w:eastAsia="zh-CN"/>
        </w:rPr>
        <w:t>人员备份情况概述</w:t>
      </w:r>
      <w:bookmarkEnd w:id="18"/>
    </w:p>
    <w:p w14:paraId="189051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针对4个核心管理岗位制定的AB角备份机制</w:t>
      </w:r>
      <w:r>
        <w:rPr>
          <w:rFonts w:hint="default"/>
        </w:rPr>
        <w:t>已全部按计划建立并生效，完成了从人员指定、系统培训到工作授权交接的全过程，关键岗位无断档风险。</w:t>
      </w:r>
    </w:p>
    <w:p w14:paraId="2BDCA6D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4397"/>
      <w:r>
        <w:rPr>
          <w:rFonts w:hint="eastAsia"/>
          <w:lang w:val="en-US" w:eastAsia="zh-CN"/>
        </w:rPr>
        <w:t>人员备份情况详情</w:t>
      </w:r>
      <w:bookmarkEnd w:id="19"/>
    </w:p>
    <w:tbl>
      <w:tblPr>
        <w:tblStyle w:val="20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1297"/>
        <w:gridCol w:w="1113"/>
        <w:gridCol w:w="1290"/>
        <w:gridCol w:w="1212"/>
        <w:gridCol w:w="1282"/>
        <w:gridCol w:w="1720"/>
      </w:tblGrid>
      <w:tr w14:paraId="23AF0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4272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12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EA31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备份岗位</w:t>
            </w:r>
          </w:p>
        </w:tc>
        <w:tc>
          <w:tcPr>
            <w:tcW w:w="11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D597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12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32B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备份人员</w:t>
            </w:r>
          </w:p>
        </w:tc>
        <w:tc>
          <w:tcPr>
            <w:tcW w:w="12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F6C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计划备份人数</w:t>
            </w:r>
          </w:p>
        </w:tc>
        <w:tc>
          <w:tcPr>
            <w:tcW w:w="12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84A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计划到岗时间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233A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实际完成情况</w:t>
            </w:r>
          </w:p>
        </w:tc>
      </w:tr>
      <w:tr w14:paraId="0EBD5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7303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6A7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6DC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8B2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副总经理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D4FC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9E9C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2025年2月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2419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已于2月完成授权并生效</w:t>
            </w:r>
          </w:p>
        </w:tc>
      </w:tr>
      <w:tr w14:paraId="6B528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7EEFE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E24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83E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B64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203C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BF0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2025年4月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ABD7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已于4月建立交叉备份机制</w:t>
            </w:r>
          </w:p>
        </w:tc>
      </w:tr>
      <w:tr w14:paraId="6CE5D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5B43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50C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785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478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副总经理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4B8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6A2C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2025年5月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411F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已于5月完成授权并生效</w:t>
            </w:r>
          </w:p>
        </w:tc>
      </w:tr>
      <w:tr w14:paraId="384F8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B9F7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CFA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5713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9BF5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质量管理专员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1E1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AF3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2025年7月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0C8B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已于7月完成授权并生效</w:t>
            </w:r>
          </w:p>
        </w:tc>
      </w:tr>
    </w:tbl>
    <w:p w14:paraId="2DFDF42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1903"/>
      <w:r>
        <w:rPr>
          <w:rFonts w:hint="eastAsia"/>
          <w:lang w:val="en-US" w:eastAsia="zh-CN"/>
        </w:rPr>
        <w:t>人员备份KPI完成情况</w:t>
      </w:r>
      <w:bookmarkEnd w:id="20"/>
    </w:p>
    <w:p w14:paraId="5EE1CE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人员备份的考核指标是每季度备份计划达成率，计算方式为：实际备份人数/计划备份人数*100%。目标值是≥95%。</w:t>
      </w:r>
    </w:p>
    <w:p w14:paraId="5BEF20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截止2025年11月，每季度均按时完成备份计划，备份计划达成率为100%。满足考核指标要求。</w:t>
      </w:r>
    </w:p>
    <w:p w14:paraId="792DB0E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15208"/>
      <w:r>
        <w:rPr>
          <w:rFonts w:hint="eastAsia"/>
          <w:lang w:val="en-US" w:eastAsia="zh-CN"/>
        </w:rPr>
        <w:t>人员绩效考核完成情况</w:t>
      </w:r>
      <w:bookmarkEnd w:id="21"/>
    </w:p>
    <w:p w14:paraId="5BD5457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14803"/>
      <w:r>
        <w:rPr>
          <w:rFonts w:hint="eastAsia"/>
          <w:lang w:val="en-US" w:eastAsia="zh-CN"/>
        </w:rPr>
        <w:t>人员绩效考核概况</w:t>
      </w:r>
      <w:bookmarkEnd w:id="22"/>
    </w:p>
    <w:p w14:paraId="0252CE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t>公司绩效管理体系在2025年度实现了</w:t>
      </w:r>
      <w:r>
        <w:rPr>
          <w:rFonts w:hint="default"/>
        </w:rPr>
        <w:t>全流程、全周期的稳定闭环运行。不仅高质量完成了前三个季度的考核工作，第四季度考核也已按计划启动，有效驱动了员工行为与公司战略目标的对齐。</w:t>
      </w:r>
    </w:p>
    <w:p w14:paraId="094957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绩效考核取得以下成果：</w:t>
      </w:r>
    </w:p>
    <w:p w14:paraId="587363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机制成熟，运行顺畅：绩效管理的PDCA循环已成为公司的基础管理流程，各级管理者与员工均熟悉并遵循此流程，管理成本显著降低。</w:t>
      </w:r>
    </w:p>
    <w:p w14:paraId="746D84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精准牵引，聚焦业务：考核内容成功区分了管理、技术/运维、操作/服务三类岗位的侧重点。特别是对“技术/运维岗位”，设定的 SLA达成率、故障平均解决时间(MTTR)、有效知识贡献数等量化指标，直接驱动了服务效率与质量的提升，以及团队知识沉淀的文化形成。</w:t>
      </w:r>
    </w:p>
    <w:p w14:paraId="0DDD41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闭环，赋能发展：绩效考核不仅用于评价，更侧重于发展。通过持续的反馈面谈与改进计划，它已成为员工识别优势、改进短板的关键工具。同时，考核结果已切实应用于激励兑现与人才选拔，建立了“高绩效-高回报-高发展”的良性循环。</w:t>
      </w:r>
    </w:p>
    <w:p w14:paraId="7C1E3DF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3" w:name="_Toc5084"/>
      <w:r>
        <w:rPr>
          <w:rFonts w:hint="eastAsia"/>
          <w:lang w:val="en-US" w:eastAsia="zh-CN"/>
        </w:rPr>
        <w:t>人员绩效考核详情</w:t>
      </w:r>
      <w:bookmarkEnd w:id="23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2003"/>
        <w:gridCol w:w="2534"/>
        <w:gridCol w:w="2676"/>
      </w:tblGrid>
      <w:tr w14:paraId="0F221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6156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考核周期与环节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44B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计划要求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C1F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实际执行情况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7BEA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状态与关键产出</w:t>
            </w:r>
          </w:p>
        </w:tc>
      </w:tr>
      <w:tr w14:paraId="21D27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DD68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 (Q1-Q3)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583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每季度开展计划、辅导、评估、反馈的全流程。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22B6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已100%完成第一、二、三季度的全部四个环节。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CCD8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已完成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产出：各季度《绩效计划/考核表》、辅导记录、评估结果、反馈面谈记录。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核心：实现了从“考核”到“持续管理”的转变。</w:t>
            </w:r>
          </w:p>
        </w:tc>
      </w:tr>
      <w:tr w14:paraId="306B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AB6B8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绩效计划制定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854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季度初，上下级共同制定并确认绩效计划。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9D7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每季度初按时完成，目标基于部门分解，符合SMART原则。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7EB7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已成标准动作</w:t>
            </w:r>
          </w:p>
        </w:tc>
      </w:tr>
      <w:tr w14:paraId="3748F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28FF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绩效过程辅导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AD0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每月至少一次正式沟通与辅导。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D83E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管理者普遍执行，关键事件记录成为评估的重要依据。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4719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已形成管理习惯</w:t>
            </w:r>
          </w:p>
        </w:tc>
      </w:tr>
      <w:tr w14:paraId="1CD4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83DD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绩效考核评估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923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季度结束5个工作日内完成评估。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961F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准时完成，系统支持了自评、上级评及结果计算。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A900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流程已固化</w:t>
            </w:r>
          </w:p>
        </w:tc>
      </w:tr>
      <w:tr w14:paraId="15CCC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6FC8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绩效结果反馈与面谈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0B0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评估后3个工作日内完成一对一沟通。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8E6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全部完成，并共同制定了《绩效改进与发展计划》。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62B9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实现闭环与改进</w:t>
            </w:r>
          </w:p>
        </w:tc>
      </w:tr>
      <w:tr w14:paraId="243FC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5B1A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年度考核准备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64873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年末综合季度结果与年度评价。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B7935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前三季度数据已就绪，年度能力行为评价方案已确定。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64FC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按计划准备中</w:t>
            </w:r>
          </w:p>
        </w:tc>
      </w:tr>
      <w:tr w14:paraId="7C549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62C4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考核结果应用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877BF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应用于薪酬、晋升、发展、调整。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11F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季度考核结果已与绩效奖金兑现直接挂钩，并用于人才盘点。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F6F2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已实现即时应用</w:t>
            </w:r>
          </w:p>
        </w:tc>
      </w:tr>
    </w:tbl>
    <w:p w14:paraId="4301ED3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5716"/>
      <w:r>
        <w:rPr>
          <w:rFonts w:hint="eastAsia"/>
          <w:lang w:val="en-US" w:eastAsia="zh-CN"/>
        </w:rPr>
        <w:t>人员绩效考核KPI完成情况</w:t>
      </w:r>
      <w:bookmarkEnd w:id="24"/>
    </w:p>
    <w:p w14:paraId="53FCA0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人员绩效考核的考核指标是每季度绩效考核合格率，计算方式为：绩效考核合格人数/绩效考核总人数*100%。目标值是≥90%。</w:t>
      </w:r>
    </w:p>
    <w:p w14:paraId="5BF09B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截止2025年11月，每季度对运维人员进行考核，所有人考核成绩均合格，绩效考核合格率为100%。满足考核指标要求。</w:t>
      </w:r>
    </w:p>
    <w:p w14:paraId="34EB8E8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27617"/>
      <w:r>
        <w:rPr>
          <w:rFonts w:hint="eastAsia"/>
          <w:lang w:val="en-US" w:eastAsia="zh-CN"/>
        </w:rPr>
        <w:t>人员技能评定完成情况</w:t>
      </w:r>
      <w:bookmarkEnd w:id="25"/>
    </w:p>
    <w:p w14:paraId="4715AE3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bookmark14"/>
      <w:bookmarkEnd w:id="26"/>
      <w:bookmarkStart w:id="27" w:name="_Toc26702"/>
      <w:r>
        <w:rPr>
          <w:rFonts w:hint="eastAsia"/>
          <w:lang w:val="en-US" w:eastAsia="zh-CN"/>
        </w:rPr>
        <w:t>人员技能评定概况</w:t>
      </w:r>
      <w:bookmarkEnd w:id="27"/>
    </w:p>
    <w:p w14:paraId="19CED727">
      <w:pPr>
        <w:pStyle w:val="29"/>
        <w:bidi w:val="0"/>
        <w:rPr>
          <w:rFonts w:hint="default"/>
        </w:rPr>
      </w:pPr>
      <w:r>
        <w:rPr>
          <w:rFonts w:hint="default"/>
        </w:rPr>
        <w:t>作为年度重要人才发展项目，技能评定工作所有前期准备工作已于报告期内（11月底前）100%按计划完成。评定体系、标准、流程与组织保障已全面就绪，标志着公司“技术”与“质量”双序列专业发展通道的正式建立与启动。</w:t>
      </w:r>
    </w:p>
    <w:p w14:paraId="0310981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技能评定工作，主要取得以下成果：</w:t>
      </w:r>
    </w:p>
    <w:p w14:paraId="627026F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系统化呈现准备进度：通过流程对照表，详细展示了从制度、标准到组织、方法等各环节的准备情况，证明工作已完全就绪并准时启动。</w:t>
      </w:r>
    </w:p>
    <w:p w14:paraId="5C2DE9E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突出战略价值与业务链接：在成果说明中，着重阐述了技能评定体系对公司人才战略（双通道、评聘分离）和核心业务（运维与研发能力导向）的支撑作用，提升了工作的意义层级。</w:t>
      </w:r>
    </w:p>
    <w:p w14:paraId="1699F08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明确后续管理应用：明确指出评定结果将作为下一年度多项人才管理决策的“核心依据”，体现了此项工作的长期价值和闭环管理思维。</w:t>
      </w:r>
    </w:p>
    <w:p w14:paraId="2BDBB7E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32765"/>
      <w:r>
        <w:rPr>
          <w:rFonts w:hint="eastAsia"/>
          <w:lang w:val="en-US" w:eastAsia="zh-CN"/>
        </w:rPr>
        <w:t>人员技能评定详情</w:t>
      </w:r>
      <w:bookmarkEnd w:id="28"/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2413"/>
        <w:gridCol w:w="3675"/>
        <w:gridCol w:w="918"/>
      </w:tblGrid>
      <w:tr w14:paraId="2256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9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045A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评定关键环节</w:t>
            </w:r>
          </w:p>
        </w:tc>
        <w:tc>
          <w:tcPr>
            <w:tcW w:w="24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0367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计划要求</w:t>
            </w:r>
          </w:p>
        </w:tc>
        <w:tc>
          <w:tcPr>
            <w:tcW w:w="3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D3CD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实际完成情况（截至11月30日）</w:t>
            </w:r>
          </w:p>
        </w:tc>
        <w:tc>
          <w:tcPr>
            <w:tcW w:w="9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B44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状态</w:t>
            </w:r>
          </w:p>
        </w:tc>
      </w:tr>
      <w:tr w14:paraId="4E77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ACA5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制度与标准建设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E49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依据制度建立两大序列、五级技能模型及评定标准。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20D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已完成《专业技能等级任职资格标准细则》的制定与发布，并通过多渠道完成全员宣贯。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CADA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711AC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BA2C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评定流程设计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B50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明确“申请-审核-评审-审批-应用”的闭环流程。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7B6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全套流程文档与工具（《申请表》、《评价表》）已开发、测试并定稿。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593F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07098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6501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年度评定启动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54F1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计划于2025年12月启动常规集中评定。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044A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计划于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12月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正式发布年度评定通知，全面启动员工申请与部门推荐流程。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4F1D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准备中</w:t>
            </w:r>
          </w:p>
        </w:tc>
      </w:tr>
      <w:tr w14:paraId="3B27C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2E31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资格审查机制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776B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设定司龄、绩效等基本门槛。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1C3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审查标准与协同工作机制已在人力部与业务部门间明确。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CC6C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71D4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0CAB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评审组织保障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583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组建评审委员会。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7A1E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评审委员会组建方案已获批准，委员名单已初步拟定。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45C3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76015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FFC3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评定方法确认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D46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采用“履历评审(30%)+能力答辩(70%)”复合模型。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508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评审细则、评分维度和答辩流程均已确定，并完成对潜在评委的培训。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A3A4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  <w:tr w14:paraId="385DF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12A4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结果应用衔接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D71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评定结果与薪酬、晋升、培训等挂钩。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C95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与薪酬体系、人才盘点系统的对接方案已准备完毕。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7C9E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</w:t>
            </w:r>
          </w:p>
        </w:tc>
      </w:tr>
    </w:tbl>
    <w:p w14:paraId="09BC1C1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7791"/>
      <w:r>
        <w:rPr>
          <w:rFonts w:hint="eastAsia"/>
          <w:lang w:val="en-US" w:eastAsia="zh-CN"/>
        </w:rPr>
        <w:t>人员技能评定KPI完成情况</w:t>
      </w:r>
      <w:bookmarkEnd w:id="29"/>
    </w:p>
    <w:p w14:paraId="659C27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人员技能评定的考核指标是每年度技能评定覆盖率，计算方式为：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 w:bidi="ar"/>
        </w:rPr>
        <w:t>实际进行技能评定的人数/应进行技能评定的人数*100%</w:t>
      </w:r>
      <w:r>
        <w:rPr>
          <w:rFonts w:hint="eastAsia"/>
          <w:lang w:val="en-US" w:eastAsia="zh-CN"/>
        </w:rPr>
        <w:t>。目标值是≥80%。</w:t>
      </w:r>
    </w:p>
    <w:p w14:paraId="2271B6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计划于12月初进行人员技能技能评定，目前进展顺利。</w:t>
      </w:r>
    </w:p>
    <w:p w14:paraId="6D4AC3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5DE8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BE1699"/>
    <w:rsid w:val="05227292"/>
    <w:rsid w:val="05C50C80"/>
    <w:rsid w:val="05E97064"/>
    <w:rsid w:val="063F6C84"/>
    <w:rsid w:val="064C13A1"/>
    <w:rsid w:val="06F537E7"/>
    <w:rsid w:val="08670714"/>
    <w:rsid w:val="09AE42A4"/>
    <w:rsid w:val="09E610AA"/>
    <w:rsid w:val="0A110938"/>
    <w:rsid w:val="0A782765"/>
    <w:rsid w:val="0AA572D2"/>
    <w:rsid w:val="0DE7039A"/>
    <w:rsid w:val="0F6239E3"/>
    <w:rsid w:val="0F9B3909"/>
    <w:rsid w:val="0FEE54B2"/>
    <w:rsid w:val="10564717"/>
    <w:rsid w:val="112F62DD"/>
    <w:rsid w:val="134E6759"/>
    <w:rsid w:val="13A66595"/>
    <w:rsid w:val="13BA6B41"/>
    <w:rsid w:val="13DA4490"/>
    <w:rsid w:val="14CD2133"/>
    <w:rsid w:val="15E056A4"/>
    <w:rsid w:val="166B5873"/>
    <w:rsid w:val="16E3120C"/>
    <w:rsid w:val="17285DD4"/>
    <w:rsid w:val="177E15D6"/>
    <w:rsid w:val="18BC23B6"/>
    <w:rsid w:val="19377C8F"/>
    <w:rsid w:val="193A152D"/>
    <w:rsid w:val="1BA07D6D"/>
    <w:rsid w:val="1C206CED"/>
    <w:rsid w:val="1C9571A6"/>
    <w:rsid w:val="1CFA040C"/>
    <w:rsid w:val="1D0664D9"/>
    <w:rsid w:val="1D417544"/>
    <w:rsid w:val="1D5726AE"/>
    <w:rsid w:val="1DFC3255"/>
    <w:rsid w:val="1F176598"/>
    <w:rsid w:val="1F3C7DAD"/>
    <w:rsid w:val="1F533349"/>
    <w:rsid w:val="1F5844BB"/>
    <w:rsid w:val="20124FB2"/>
    <w:rsid w:val="212F0D17"/>
    <w:rsid w:val="21327383"/>
    <w:rsid w:val="22100F25"/>
    <w:rsid w:val="23130E25"/>
    <w:rsid w:val="2322375E"/>
    <w:rsid w:val="23564752"/>
    <w:rsid w:val="240A66CC"/>
    <w:rsid w:val="241C63FF"/>
    <w:rsid w:val="248C70E1"/>
    <w:rsid w:val="24A7216D"/>
    <w:rsid w:val="251D242F"/>
    <w:rsid w:val="25217484"/>
    <w:rsid w:val="26355556"/>
    <w:rsid w:val="2835183D"/>
    <w:rsid w:val="2955295B"/>
    <w:rsid w:val="29F00112"/>
    <w:rsid w:val="2A704DAF"/>
    <w:rsid w:val="2C490CFF"/>
    <w:rsid w:val="2F361183"/>
    <w:rsid w:val="30B1106C"/>
    <w:rsid w:val="35812566"/>
    <w:rsid w:val="35E30B2B"/>
    <w:rsid w:val="36625EF3"/>
    <w:rsid w:val="3684230E"/>
    <w:rsid w:val="37021484"/>
    <w:rsid w:val="380B4369"/>
    <w:rsid w:val="3A63223A"/>
    <w:rsid w:val="3A667F7C"/>
    <w:rsid w:val="3ACC4283"/>
    <w:rsid w:val="3B8763FC"/>
    <w:rsid w:val="3BCE7B87"/>
    <w:rsid w:val="3E854E75"/>
    <w:rsid w:val="3F7077C0"/>
    <w:rsid w:val="40F257C1"/>
    <w:rsid w:val="41790595"/>
    <w:rsid w:val="44080F9F"/>
    <w:rsid w:val="455E6898"/>
    <w:rsid w:val="4577128F"/>
    <w:rsid w:val="462F3918"/>
    <w:rsid w:val="480A0199"/>
    <w:rsid w:val="4A203CA4"/>
    <w:rsid w:val="4A8C758B"/>
    <w:rsid w:val="4A987CDE"/>
    <w:rsid w:val="4B69167A"/>
    <w:rsid w:val="4B9A5CD8"/>
    <w:rsid w:val="4C602A7D"/>
    <w:rsid w:val="4F813436"/>
    <w:rsid w:val="50B60EBE"/>
    <w:rsid w:val="50F32112"/>
    <w:rsid w:val="5268443A"/>
    <w:rsid w:val="53212D5A"/>
    <w:rsid w:val="53BB2EEB"/>
    <w:rsid w:val="54705828"/>
    <w:rsid w:val="547C0049"/>
    <w:rsid w:val="553842B3"/>
    <w:rsid w:val="558C5D78"/>
    <w:rsid w:val="57646A38"/>
    <w:rsid w:val="584711E7"/>
    <w:rsid w:val="592F56EF"/>
    <w:rsid w:val="5CA70254"/>
    <w:rsid w:val="5E14191A"/>
    <w:rsid w:val="5E243F03"/>
    <w:rsid w:val="605E6E7C"/>
    <w:rsid w:val="609603C4"/>
    <w:rsid w:val="61F16E05"/>
    <w:rsid w:val="62602D05"/>
    <w:rsid w:val="62A72D5C"/>
    <w:rsid w:val="62D13935"/>
    <w:rsid w:val="63F20897"/>
    <w:rsid w:val="646E0E9D"/>
    <w:rsid w:val="64786F77"/>
    <w:rsid w:val="650E70C3"/>
    <w:rsid w:val="68DB72BC"/>
    <w:rsid w:val="6A604244"/>
    <w:rsid w:val="6AAA04C1"/>
    <w:rsid w:val="6ABF6769"/>
    <w:rsid w:val="6BAA6FF8"/>
    <w:rsid w:val="6BFD1C3F"/>
    <w:rsid w:val="6CC13BE1"/>
    <w:rsid w:val="6D066FEF"/>
    <w:rsid w:val="6D3671B7"/>
    <w:rsid w:val="6D8819DC"/>
    <w:rsid w:val="6F12155D"/>
    <w:rsid w:val="6FB9095D"/>
    <w:rsid w:val="70357BF9"/>
    <w:rsid w:val="71D90A58"/>
    <w:rsid w:val="71F64DE3"/>
    <w:rsid w:val="725400DF"/>
    <w:rsid w:val="75750A98"/>
    <w:rsid w:val="75F0456F"/>
    <w:rsid w:val="76A038F3"/>
    <w:rsid w:val="770C0A47"/>
    <w:rsid w:val="786848E4"/>
    <w:rsid w:val="79144124"/>
    <w:rsid w:val="79273E57"/>
    <w:rsid w:val="798A3F09"/>
    <w:rsid w:val="79DA35C0"/>
    <w:rsid w:val="79F07C61"/>
    <w:rsid w:val="7C1E45F6"/>
    <w:rsid w:val="7CEB2570"/>
    <w:rsid w:val="7D6605F4"/>
    <w:rsid w:val="7DA22646"/>
    <w:rsid w:val="7DE92023"/>
    <w:rsid w:val="7F480B58"/>
    <w:rsid w:val="7FC7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2437</Words>
  <Characters>2840</Characters>
  <Lines>0</Lines>
  <Paragraphs>0</Paragraphs>
  <TotalTime>0</TotalTime>
  <ScaleCrop>false</ScaleCrop>
  <LinksUpToDate>false</LinksUpToDate>
  <CharactersWithSpaces>2950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2026-01-28T15:58:09Z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