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6CBA0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493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C8972A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8524"/>
      <w:r>
        <w:rPr>
          <w:rFonts w:hint="eastAsia"/>
          <w:lang w:val="en-US" w:eastAsia="zh-CN"/>
        </w:rPr>
        <w:t>事件管理制度</w:t>
      </w:r>
      <w:bookmarkEnd w:id="1"/>
    </w:p>
    <w:p w14:paraId="6396E2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A21E6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1AFBF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A56F2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07DA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5FD1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27889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21E6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0AF3D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B7693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828469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06A370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4EACAF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B7A4A0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442BD5F">
          <w:pPr>
            <w:pStyle w:val="16"/>
            <w:tabs>
              <w:tab w:val="right" w:leader="dot" w:pos="8306"/>
            </w:tabs>
          </w:pPr>
          <w:bookmarkStart w:id="24" w:name="_GoBack"/>
          <w:bookmarkEnd w:id="24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_Toc23493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7214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_Toc8524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F9FC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_Toc16659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C9DE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_Toc27608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4E66A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_Toc31662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33696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_Toc20587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F752E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_Toc26469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62F4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事件经理</w:t>
          </w:r>
          <w:r>
            <w:tab/>
          </w:r>
          <w:r>
            <w:fldChar w:fldCharType="begin"/>
          </w:r>
          <w:r>
            <w:instrText xml:space="preserve"> PAGEREF _Toc15638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7E14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_Toc7577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6B103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_Toc762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0927F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_Toc31497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76598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管理原则</w:t>
          </w:r>
          <w:r>
            <w:tab/>
          </w:r>
          <w:r>
            <w:fldChar w:fldCharType="begin"/>
          </w:r>
          <w:r>
            <w:instrText xml:space="preserve"> PAGEREF _Toc9081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2CAF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事件关闭原则</w:t>
          </w:r>
          <w:r>
            <w:tab/>
          </w:r>
          <w:r>
            <w:fldChar w:fldCharType="begin"/>
          </w:r>
          <w:r>
            <w:instrText xml:space="preserve"> PAGEREF _Toc7358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B3F9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流程关联原则</w:t>
          </w:r>
          <w:r>
            <w:tab/>
          </w:r>
          <w:r>
            <w:fldChar w:fldCharType="begin"/>
          </w:r>
          <w:r>
            <w:instrText xml:space="preserve"> PAGEREF _Toc11232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3B602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事件管理流程</w:t>
          </w:r>
          <w:r>
            <w:tab/>
          </w:r>
          <w:r>
            <w:fldChar w:fldCharType="begin"/>
          </w:r>
          <w:r>
            <w:instrText xml:space="preserve"> PAGEREF _Toc21911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FA21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流程输入与输出</w:t>
          </w:r>
          <w:r>
            <w:tab/>
          </w:r>
          <w:r>
            <w:fldChar w:fldCharType="begin"/>
          </w:r>
          <w:r>
            <w:instrText xml:space="preserve"> PAGEREF _Toc15180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AC56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流程活动说明</w:t>
          </w:r>
          <w:r>
            <w:tab/>
          </w:r>
          <w:r>
            <w:fldChar w:fldCharType="begin"/>
          </w:r>
          <w:r>
            <w:instrText xml:space="preserve"> PAGEREF _Toc26892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7B8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事件处理与升级子流程</w:t>
          </w:r>
          <w:r>
            <w:tab/>
          </w:r>
          <w:r>
            <w:fldChar w:fldCharType="begin"/>
          </w:r>
          <w:r>
            <w:instrText xml:space="preserve"> PAGEREF _Toc27872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810E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事件分类、分级与升级</w:t>
          </w:r>
          <w:r>
            <w:tab/>
          </w:r>
          <w:r>
            <w:fldChar w:fldCharType="begin"/>
          </w:r>
          <w:r>
            <w:instrText xml:space="preserve"> PAGEREF _Toc32023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BAEE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事件等级划分</w:t>
          </w:r>
          <w:r>
            <w:tab/>
          </w:r>
          <w:r>
            <w:fldChar w:fldCharType="begin"/>
          </w:r>
          <w:r>
            <w:instrText xml:space="preserve"> PAGEREF _Toc28807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37E8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事件升级机制</w:t>
          </w:r>
          <w:r>
            <w:tab/>
          </w:r>
          <w:r>
            <w:fldChar w:fldCharType="begin"/>
          </w:r>
          <w:r>
            <w:instrText xml:space="preserve"> PAGEREF _Toc1133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336C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常见事件类别（软件运维聚焦）</w:t>
          </w:r>
          <w:r>
            <w:tab/>
          </w:r>
          <w:r>
            <w:fldChar w:fldCharType="begin"/>
          </w:r>
          <w:r>
            <w:instrText xml:space="preserve"> PAGEREF _Toc11980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B66B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_Toc11111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BD6A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_Toc30880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F4E92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3F791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1A9FBA6">
      <w:pPr>
        <w:pStyle w:val="28"/>
        <w:bidi w:val="0"/>
        <w:rPr>
          <w:rFonts w:hint="eastAsia"/>
          <w:lang w:val="en-US" w:eastAsia="zh-CN"/>
        </w:rPr>
      </w:pPr>
      <w:bookmarkStart w:id="2" w:name="_Toc16659"/>
      <w:r>
        <w:rPr>
          <w:rFonts w:hint="eastAsia"/>
          <w:lang w:val="en-US" w:eastAsia="zh-CN"/>
        </w:rPr>
        <w:t>1. 总则</w:t>
      </w:r>
      <w:bookmarkEnd w:id="2"/>
    </w:p>
    <w:p w14:paraId="5BE90C70">
      <w:pPr>
        <w:pStyle w:val="30"/>
        <w:bidi w:val="0"/>
        <w:rPr>
          <w:rFonts w:hint="eastAsia"/>
          <w:lang w:val="en-US" w:eastAsia="zh-CN"/>
        </w:rPr>
      </w:pPr>
      <w:bookmarkStart w:id="3" w:name="_Toc27608"/>
      <w:r>
        <w:rPr>
          <w:rFonts w:hint="eastAsia"/>
          <w:lang w:val="en-US" w:eastAsia="zh-CN"/>
        </w:rPr>
        <w:t>目的</w:t>
      </w:r>
      <w:bookmarkEnd w:id="3"/>
    </w:p>
    <w:p w14:paraId="34369A7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软件运维服务事件的管理，建立快速响应与高效解决机制，以最小化事件对客户业务的影响，保障服务的连续性与稳定性，提升客户满意度，并为问题管理、知识管理等流程提供有效输入，特制定本制度。</w:t>
      </w:r>
    </w:p>
    <w:p w14:paraId="4485D66D">
      <w:pPr>
        <w:pStyle w:val="30"/>
        <w:bidi w:val="0"/>
        <w:rPr>
          <w:rFonts w:hint="eastAsia"/>
          <w:lang w:val="en-US" w:eastAsia="zh-CN"/>
        </w:rPr>
      </w:pPr>
      <w:bookmarkStart w:id="4" w:name="_Toc31662"/>
      <w:r>
        <w:rPr>
          <w:rFonts w:hint="eastAsia"/>
          <w:lang w:val="en-US" w:eastAsia="zh-CN"/>
        </w:rPr>
        <w:t>适用范围</w:t>
      </w:r>
      <w:bookmarkEnd w:id="4"/>
    </w:p>
    <w:p w14:paraId="60B437F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本制度适用于公司为客户提供软件运维服务过程中，所有通过服务台、监控系统或其他渠道接收到的服务事件，包括但不限于系统故障、服务请求、信息咨询等。</w:t>
      </w:r>
    </w:p>
    <w:p w14:paraId="592F9251">
      <w:pPr>
        <w:pStyle w:val="28"/>
        <w:bidi w:val="0"/>
        <w:rPr>
          <w:rFonts w:hint="eastAsia"/>
          <w:lang w:val="en-US" w:eastAsia="zh-CN"/>
        </w:rPr>
      </w:pPr>
      <w:bookmarkStart w:id="5" w:name="_Toc20587"/>
      <w:r>
        <w:rPr>
          <w:rFonts w:hint="eastAsia"/>
          <w:lang w:val="en-US" w:eastAsia="zh-CN"/>
        </w:rPr>
        <w:t>术语与定义</w:t>
      </w:r>
      <w:bookmarkEnd w:id="5"/>
    </w:p>
    <w:p w14:paraId="737C9B5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事件：在服务合同范围内，任何导致或可能导致客户软件系统服务中断、服务质量下降或影响用户正常使用的非计划性情形，包括故障申告、服务请求、咨询等。</w:t>
      </w:r>
    </w:p>
    <w:p w14:paraId="6273C33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事件管理：通过一系列标准化活动，对事件进行记录、分类、优先级排序、诊断、升级、解决、关闭和回顾，旨在尽快恢复服务，减少对业务的干扰。</w:t>
      </w:r>
    </w:p>
    <w:p w14:paraId="07588F3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服务请求：客户提出的标准、低风险、预先定义的请求，如信息查询、账户重置、软件安装（标准版）等。</w:t>
      </w:r>
    </w:p>
    <w:p w14:paraId="2A08082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事件升级：当事件在规定时限内无法解决或需要更高级别资源介入时，将事件移交至更高权限人员或团队的过程。</w:t>
      </w:r>
    </w:p>
    <w:p w14:paraId="26B9C49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重复事件：在相同或相似环境下，由同一根本原因引发的、具有相同症状的多次事件。</w:t>
      </w:r>
    </w:p>
    <w:p w14:paraId="67C0D49A">
      <w:pPr>
        <w:pStyle w:val="28"/>
        <w:bidi w:val="0"/>
        <w:rPr>
          <w:rFonts w:hint="eastAsia"/>
          <w:lang w:val="en-US" w:eastAsia="zh-CN"/>
        </w:rPr>
      </w:pPr>
      <w:bookmarkStart w:id="6" w:name="_Toc26469"/>
      <w:r>
        <w:rPr>
          <w:rFonts w:hint="eastAsia"/>
          <w:lang w:val="en-US" w:eastAsia="zh-CN"/>
        </w:rPr>
        <w:t>角色与职责</w:t>
      </w:r>
      <w:bookmarkEnd w:id="6"/>
    </w:p>
    <w:p w14:paraId="10D414A1">
      <w:pPr>
        <w:pStyle w:val="30"/>
        <w:bidi w:val="0"/>
        <w:rPr>
          <w:rFonts w:hint="eastAsia"/>
          <w:lang w:val="en-US" w:eastAsia="zh-CN"/>
        </w:rPr>
      </w:pPr>
      <w:bookmarkStart w:id="7" w:name="_Toc15638"/>
      <w:r>
        <w:rPr>
          <w:rFonts w:hint="eastAsia"/>
          <w:lang w:val="en-US" w:eastAsia="zh-CN"/>
        </w:rPr>
        <w:t>事件经理</w:t>
      </w:r>
      <w:bookmarkEnd w:id="7"/>
    </w:p>
    <w:p w14:paraId="2F34CF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由数智运营部经理担任，负责：</w:t>
      </w:r>
    </w:p>
    <w:p w14:paraId="6AF26B8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监督整体事件管理流程的效率与效果，确保客户满意度。</w:t>
      </w:r>
    </w:p>
    <w:p w14:paraId="2EEC0F9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审批重大事件的应急与处理方案，协调跨部门资源。</w:t>
      </w:r>
    </w:p>
    <w:p w14:paraId="6A103D9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监控事件处理进度，对即将超时或重大事件进行强制升级与协调。</w:t>
      </w:r>
    </w:p>
    <w:p w14:paraId="680C926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定期分析事件数据，识别趋势，为服务改进提供决策依据。</w:t>
      </w:r>
    </w:p>
    <w:p w14:paraId="1E09B68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确保事件管理与问题、变更等流程的有效衔接。</w:t>
      </w:r>
    </w:p>
    <w:p w14:paraId="5AE6F5DF">
      <w:pPr>
        <w:pStyle w:val="30"/>
        <w:bidi w:val="0"/>
        <w:rPr>
          <w:rFonts w:hint="eastAsia"/>
          <w:lang w:val="en-US" w:eastAsia="zh-CN"/>
        </w:rPr>
      </w:pPr>
      <w:bookmarkStart w:id="8" w:name="_Toc7577"/>
      <w:r>
        <w:rPr>
          <w:rFonts w:hint="eastAsia"/>
          <w:lang w:val="en-US" w:eastAsia="zh-CN"/>
        </w:rPr>
        <w:t>服务台专员</w:t>
      </w:r>
      <w:bookmarkEnd w:id="8"/>
    </w:p>
    <w:p w14:paraId="449B755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作为事件的统一接入点，负责：</w:t>
      </w:r>
    </w:p>
    <w:p w14:paraId="3C686FC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接听客户电话、接收邮件/工单，事件记录率达到100%。</w:t>
      </w:r>
    </w:p>
    <w:p w14:paraId="1BD7DA1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对事件进行初步分类、优先级判定并分派。</w:t>
      </w:r>
    </w:p>
    <w:p w14:paraId="2B9986E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处理简单的咨询类或可通过知识库直接解决的服务请求。</w:t>
      </w:r>
    </w:p>
    <w:p w14:paraId="583517A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跟踪事件状态，及时向客户沟通进展。</w:t>
      </w:r>
    </w:p>
    <w:p w14:paraId="319C87F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在事件解决后回访客户，确认关闭并获得满意度反馈。</w:t>
      </w:r>
    </w:p>
    <w:p w14:paraId="1003E677">
      <w:pPr>
        <w:pStyle w:val="30"/>
        <w:bidi w:val="0"/>
        <w:rPr>
          <w:rFonts w:hint="eastAsia"/>
          <w:lang w:val="en-US" w:eastAsia="zh-CN"/>
        </w:rPr>
      </w:pPr>
      <w:bookmarkStart w:id="9" w:name="_Toc762"/>
      <w:r>
        <w:rPr>
          <w:rFonts w:hint="eastAsia"/>
          <w:lang w:val="en-US" w:eastAsia="zh-CN"/>
        </w:rPr>
        <w:t>运维工程师</w:t>
      </w:r>
      <w:bookmarkEnd w:id="9"/>
    </w:p>
    <w:p w14:paraId="3FE2C39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负责：</w:t>
      </w:r>
    </w:p>
    <w:p w14:paraId="0834483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接收并处理服务台分派的专业技术事件。</w:t>
      </w:r>
    </w:p>
    <w:p w14:paraId="777386E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在规定时限内诊断并解决事件，详细记录解决方案与过程。</w:t>
      </w:r>
    </w:p>
    <w:p w14:paraId="1B582BA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对于无法独立解决的事件，按流程及时升级至运维项目经理或更高技术专家。</w:t>
      </w:r>
    </w:p>
    <w:p w14:paraId="16A8D88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将典型解决方案整理提交至知识库。</w:t>
      </w:r>
    </w:p>
    <w:p w14:paraId="1459C933">
      <w:pPr>
        <w:pStyle w:val="30"/>
        <w:bidi w:val="0"/>
        <w:rPr>
          <w:rFonts w:hint="eastAsia"/>
          <w:lang w:val="en-US" w:eastAsia="zh-CN"/>
        </w:rPr>
      </w:pPr>
      <w:bookmarkStart w:id="10" w:name="_Toc31497"/>
      <w:r>
        <w:rPr>
          <w:rFonts w:hint="eastAsia"/>
          <w:lang w:val="en-US" w:eastAsia="zh-CN"/>
        </w:rPr>
        <w:t>运维项目经理</w:t>
      </w:r>
      <w:bookmarkEnd w:id="10"/>
    </w:p>
    <w:p w14:paraId="45C8FCC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负责：</w:t>
      </w:r>
    </w:p>
    <w:p w14:paraId="6E610E3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处理运维工程师升级的复杂事件，组织技术分析与攻关。</w:t>
      </w:r>
    </w:p>
    <w:p w14:paraId="39C785A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作为与客户沟通的技术接口人，对重大事件进行解释与方案汇报。</w:t>
      </w:r>
    </w:p>
    <w:p w14:paraId="7531F53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协调研究总院、质量管理部等内部资源，推动事件解决。</w:t>
      </w:r>
    </w:p>
    <w:p w14:paraId="48C7D88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判断事件是否需要转化为问题或触发变更流程，并负责跟进。</w:t>
      </w:r>
    </w:p>
    <w:p w14:paraId="0E0DD418">
      <w:pPr>
        <w:pStyle w:val="28"/>
        <w:bidi w:val="0"/>
        <w:rPr>
          <w:rFonts w:hint="eastAsia"/>
          <w:lang w:val="en-US" w:eastAsia="zh-CN"/>
        </w:rPr>
      </w:pPr>
      <w:bookmarkStart w:id="11" w:name="_Toc9081"/>
      <w:r>
        <w:rPr>
          <w:rFonts w:hint="eastAsia"/>
          <w:lang w:val="en-US" w:eastAsia="zh-CN"/>
        </w:rPr>
        <w:t>管理原则</w:t>
      </w:r>
      <w:bookmarkEnd w:id="11"/>
    </w:p>
    <w:p w14:paraId="79D5339F">
      <w:pPr>
        <w:pStyle w:val="30"/>
        <w:bidi w:val="0"/>
        <w:rPr>
          <w:rFonts w:hint="eastAsia"/>
          <w:lang w:val="en-US" w:eastAsia="zh-CN"/>
        </w:rPr>
      </w:pPr>
      <w:bookmarkStart w:id="12" w:name="_Toc7358"/>
      <w:r>
        <w:rPr>
          <w:rFonts w:hint="eastAsia"/>
          <w:lang w:val="en-US" w:eastAsia="zh-CN"/>
        </w:rPr>
        <w:t>事件关闭原则</w:t>
      </w:r>
      <w:bookmarkEnd w:id="12"/>
    </w:p>
    <w:p w14:paraId="1E2A732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所有由客户申告的事件，关闭前必须获得客户确认。</w:t>
      </w:r>
    </w:p>
    <w:p w14:paraId="29D5E25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已关闭的事件单原则上不允许重开。若同一事件复发，应创建新事件单并关联历史记录。</w:t>
      </w:r>
    </w:p>
    <w:p w14:paraId="0D9881B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若采取临时措施恢复服务，事件状态应为“处理中”；待根本性解决方案实施并经客户确认后，方可“关闭”。</w:t>
      </w:r>
    </w:p>
    <w:p w14:paraId="33612E2C">
      <w:pPr>
        <w:pStyle w:val="30"/>
        <w:bidi w:val="0"/>
        <w:rPr>
          <w:rFonts w:hint="eastAsia"/>
          <w:lang w:val="en-US" w:eastAsia="zh-CN"/>
        </w:rPr>
      </w:pPr>
      <w:bookmarkStart w:id="13" w:name="_Toc11232"/>
      <w:r>
        <w:rPr>
          <w:rFonts w:hint="eastAsia"/>
          <w:lang w:val="en-US" w:eastAsia="zh-CN"/>
        </w:rPr>
        <w:t>流程关联原则</w:t>
      </w:r>
      <w:bookmarkEnd w:id="13"/>
    </w:p>
    <w:p w14:paraId="664EC99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与问题管理：事件管理旨在快速恢复服务，问题管理旨在查找并根除根本原因。频繁发生或重大事件应触发问题管理流程。</w:t>
      </w:r>
    </w:p>
    <w:p w14:paraId="44E4C0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与变更管理：为解决事件而需对生产环境进行的任何修改，必须遵循变更管理流程。</w:t>
      </w:r>
    </w:p>
    <w:p w14:paraId="599AA32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与配置管理：事件诊断与解决需依赖准确的配置信息；事件解决过程中如发现配置信息不准确，应触发配置项更新。</w:t>
      </w:r>
    </w:p>
    <w:p w14:paraId="3881070E">
      <w:pPr>
        <w:pStyle w:val="28"/>
        <w:bidi w:val="0"/>
        <w:rPr>
          <w:rFonts w:hint="eastAsia"/>
          <w:lang w:val="en-US" w:eastAsia="zh-CN"/>
        </w:rPr>
      </w:pPr>
      <w:bookmarkStart w:id="14" w:name="_Toc21911"/>
      <w:r>
        <w:rPr>
          <w:rFonts w:hint="eastAsia"/>
          <w:lang w:val="en-US" w:eastAsia="zh-CN"/>
        </w:rPr>
        <w:t>事件管理流程</w:t>
      </w:r>
      <w:bookmarkEnd w:id="14"/>
    </w:p>
    <w:p w14:paraId="39BB34D2">
      <w:pPr>
        <w:pStyle w:val="30"/>
        <w:bidi w:val="0"/>
        <w:rPr>
          <w:rFonts w:hint="eastAsia"/>
          <w:lang w:val="en-US" w:eastAsia="zh-CN"/>
        </w:rPr>
      </w:pPr>
      <w:bookmarkStart w:id="15" w:name="_Toc15180"/>
      <w:r>
        <w:rPr>
          <w:rFonts w:hint="eastAsia"/>
          <w:lang w:val="en-US" w:eastAsia="zh-CN"/>
        </w:rPr>
        <w:t>流程输入与输出</w:t>
      </w:r>
      <w:bookmarkEnd w:id="15"/>
    </w:p>
    <w:p w14:paraId="3DD88B2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输入：客户故障申告、服务请求、监控告警、服务报告反馈等。</w:t>
      </w:r>
    </w:p>
    <w:p w14:paraId="404B398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输出：已解决的事件记录、关联的问题记录或变更请求、知识库条目、事件分析报告。</w:t>
      </w:r>
    </w:p>
    <w:p w14:paraId="5FF0AE4F">
      <w:pPr>
        <w:pStyle w:val="30"/>
        <w:bidi w:val="0"/>
        <w:rPr>
          <w:rFonts w:hint="eastAsia"/>
          <w:lang w:val="en-US" w:eastAsia="zh-CN"/>
        </w:rPr>
      </w:pPr>
      <w:bookmarkStart w:id="16" w:name="_Toc26892"/>
      <w:r>
        <w:rPr>
          <w:rFonts w:hint="eastAsia"/>
          <w:lang w:val="en-US" w:eastAsia="zh-CN"/>
        </w:rPr>
        <w:t>流程活动说明</w:t>
      </w:r>
      <w:bookmarkEnd w:id="16"/>
    </w:p>
    <w:p w14:paraId="25FE2CD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事件受理与记录：服务台专员统一受理，在运维管理平台创建事件工单，记录详细信息。</w:t>
      </w:r>
    </w:p>
    <w:p w14:paraId="2B8A9DA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分类与初步支持：根据事件类型和影响进行分级分类。服务台尝试利用知识库提供即时解决或标准答复。</w:t>
      </w:r>
    </w:p>
    <w:p w14:paraId="4F45289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调查与诊断：分派至运维工程师进行技术调查与诊断。</w:t>
      </w:r>
    </w:p>
    <w:p w14:paraId="485822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解决与恢复：实施解决方案（临时或永久性），恢复服务。</w:t>
      </w:r>
    </w:p>
    <w:p w14:paraId="01C24F2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升级：若不能在约定时限内解决或超出职责范围，则按升级机制上报。</w:t>
      </w:r>
    </w:p>
    <w:p w14:paraId="4199490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关闭与回访：解决方案经客户验证确认后，关闭事件工单，并进行客户满意度回访。</w:t>
      </w:r>
    </w:p>
    <w:p w14:paraId="1D598FD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总结与转化：对重大或重复事件进行简要分析，判断是否需转为问题记录。</w:t>
      </w:r>
    </w:p>
    <w:p w14:paraId="725D9A71">
      <w:pPr>
        <w:pStyle w:val="30"/>
        <w:bidi w:val="0"/>
        <w:rPr>
          <w:rFonts w:hint="eastAsia"/>
          <w:lang w:val="en-US" w:eastAsia="zh-CN"/>
        </w:rPr>
      </w:pPr>
      <w:bookmarkStart w:id="17" w:name="_Toc27872"/>
      <w:r>
        <w:rPr>
          <w:rFonts w:hint="eastAsia"/>
          <w:lang w:val="en-US" w:eastAsia="zh-CN"/>
        </w:rPr>
        <w:t>事件处理与升级子流程</w:t>
      </w:r>
      <w:bookmarkEnd w:id="17"/>
    </w:p>
    <w:p w14:paraId="429A3F3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一线处理流程：服务台专员/运维工程师处理常规事件，查询知识库，寻求快速解决方案。</w:t>
      </w:r>
    </w:p>
    <w:p w14:paraId="59D8B25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二线/专家升级流程：运维工程师无法解决时，升级至运维项目经理。项目经理评估后，可组建虚拟专家小组或协调研究总院资源进行支持。</w:t>
      </w:r>
    </w:p>
    <w:p w14:paraId="5037B36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管理升级流程：涉及重大业务影响、需高层协调资源或可能引发客户投诉时，事件经理需介入并上报公司管理层。</w:t>
      </w:r>
    </w:p>
    <w:p w14:paraId="5BCA9E5B">
      <w:pPr>
        <w:pStyle w:val="28"/>
        <w:bidi w:val="0"/>
        <w:rPr>
          <w:rFonts w:hint="eastAsia"/>
          <w:lang w:val="en-US" w:eastAsia="zh-CN"/>
        </w:rPr>
      </w:pPr>
      <w:bookmarkStart w:id="18" w:name="_Toc32023"/>
      <w:r>
        <w:rPr>
          <w:rFonts w:hint="eastAsia"/>
          <w:lang w:val="en-US" w:eastAsia="zh-CN"/>
        </w:rPr>
        <w:t>事件分类、分级与升级</w:t>
      </w:r>
      <w:bookmarkEnd w:id="18"/>
    </w:p>
    <w:p w14:paraId="583196D1">
      <w:pPr>
        <w:pStyle w:val="30"/>
        <w:bidi w:val="0"/>
        <w:rPr>
          <w:rFonts w:hint="eastAsia"/>
          <w:lang w:val="en-US" w:eastAsia="zh-CN"/>
        </w:rPr>
      </w:pPr>
      <w:bookmarkStart w:id="19" w:name="_Toc28807"/>
      <w:r>
        <w:rPr>
          <w:rFonts w:hint="eastAsia"/>
          <w:lang w:val="en-US" w:eastAsia="zh-CN"/>
        </w:rPr>
        <w:t>事件等级划分</w:t>
      </w:r>
      <w:bookmarkEnd w:id="19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54"/>
        <w:gridCol w:w="950"/>
        <w:gridCol w:w="2885"/>
        <w:gridCol w:w="2278"/>
        <w:gridCol w:w="1931"/>
      </w:tblGrid>
      <w:tr w14:paraId="06AEA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C429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558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6DA5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核心影响与紧迫性定义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2E8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软件运维场景示例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03A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关键特征</w:t>
            </w:r>
          </w:p>
        </w:tc>
      </w:tr>
      <w:tr w14:paraId="566F4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904A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916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重大灾难事件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CED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全网性/核心业务完全中断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，造成重大经济损失或严重品牌声誉危机，需立即启动公司级应急响应。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750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核心生产系统全面瘫痪，所有用户无法访问。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核心数据库损坏或丢失，导致业务停摆。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大规模数据泄露或恶意攻击，导致服务不可用且合规风险极高。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313E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公司级应急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；可能触发业务连续性计划（BCP）。</w:t>
            </w:r>
          </w:p>
        </w:tc>
      </w:tr>
      <w:tr w14:paraId="5AA36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0A27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E66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严重故障事件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CC44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关键业务功能严重中断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，影响大部分用户或重要业务线，造成显著经济损失，需紧急处理。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FA9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核心交易/支付流程失败。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影响全局的关键服务（如登录、认证）不可用。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影响重要客户群体的核心功能模块故障。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88FD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跨部门紧急协作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；需高级别技术专家立即介入。</w:t>
            </w:r>
          </w:p>
        </w:tc>
      </w:tr>
      <w:tr w14:paraId="0E83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6910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083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CE36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重要功能部分受损或性能严重下降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，对部分用户或业务流程造成明显影响，需高优先级处理。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E3D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非核心但重要的功能模块（如报表系统）不可用。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系统性能严重下降（如API响应时间&gt;10秒），影响用户体验。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批量数据处理任务失败，影响次日业务。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56F3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需限时解决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；通常由二线/专项团队负责。</w:t>
            </w:r>
          </w:p>
        </w:tc>
      </w:tr>
      <w:tr w14:paraId="1BC6D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8890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6C5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一般故障事件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A7F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非核心功能异常或轻微性能问题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，影响个别用户或辅助性操作，需在约定服务时间内解决。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0111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页面UI显示错乱、非关键字段无法保存。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辅助性查询或导出功能异常。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第三方集成接口偶发性失败，有降级方案。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863A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标准处理流程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；通常由一线工程师解决。</w:t>
            </w:r>
          </w:p>
        </w:tc>
      </w:tr>
      <w:tr w14:paraId="66404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3E6B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2D2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服务请求/轻微咨询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B7C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不影响系统运行的标准化请求或轻微咨询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，需按约定流程履行。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47D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用户账号、权限管理类请求。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非关键数据查询与提取。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产品使用、操作流程咨询。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D4C3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预定义流程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；可通过知识库或脚本自动化处理。</w:t>
            </w:r>
          </w:p>
        </w:tc>
      </w:tr>
      <w:tr w14:paraId="58A5B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BC8C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0AF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信息性事件/新需求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606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不构成故障的报告、通知或新功能需求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，用于信息记录或转入需求管理流程。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1B8D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监控系统发出的预警性提示（资源使用率趋高）。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用户提出的用户体验优化建议。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经确认为非Bug的功能增强需求。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CB1CF7">
            <w:pP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  <w:r>
              <w:rPr>
                <w:rStyle w:val="23"/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记录与转办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；不占用紧急事件处理资源。</w:t>
            </w:r>
          </w:p>
        </w:tc>
      </w:tr>
    </w:tbl>
    <w:p w14:paraId="1D62A087">
      <w:pPr>
        <w:pStyle w:val="30"/>
        <w:bidi w:val="0"/>
        <w:rPr>
          <w:rFonts w:hint="eastAsia"/>
          <w:lang w:val="en-US" w:eastAsia="zh-CN"/>
        </w:rPr>
      </w:pPr>
      <w:bookmarkStart w:id="20" w:name="_Toc1133"/>
      <w:r>
        <w:rPr>
          <w:rFonts w:hint="eastAsia"/>
          <w:lang w:val="en-US" w:eastAsia="zh-CN"/>
        </w:rPr>
        <w:t>事件升级机制</w:t>
      </w:r>
      <w:bookmarkEnd w:id="20"/>
    </w:p>
    <w:p w14:paraId="465ED94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升级机制与事件等级强关联，确保问题按需逐级或越级上报。</w:t>
      </w:r>
    </w:p>
    <w:p w14:paraId="0FEBB3B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时限升级：任何等级事件在处理时限达到约定阈值的50%、80%、100% 时，系统自动向当前处理人、其直属上级及事件经理发出预警。</w:t>
      </w:r>
    </w:p>
    <w:p w14:paraId="2264010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技术升级：</w:t>
      </w:r>
    </w:p>
    <w:p w14:paraId="36FEB78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P3/P4事件：一线工程师无法解决时，升级至二线技术支持或运维项目经理。</w:t>
      </w:r>
    </w:p>
    <w:p w14:paraId="002C2BA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P1/P2事件：自动要求运维项目经理及研究总院对口技术专家同步介入。</w:t>
      </w:r>
    </w:p>
    <w:p w14:paraId="79460B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P0事件：立即建立包含事件经理、运维项目经理、研究总院技术负责人及公司管理层的应急指挥群，并启动战时沟通机制。</w:t>
      </w:r>
    </w:p>
    <w:p w14:paraId="164C3FC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管理升级：</w:t>
      </w:r>
    </w:p>
    <w:p w14:paraId="2E2AA53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所有P0/P1事件必须立即电话通知事件经理与分管副总经理。</w:t>
      </w:r>
    </w:p>
    <w:p w14:paraId="6D83AA8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事件预计将导致SLA重大违约、引发客户高层投诉或涉及重大法律合规风险时，无论当前等级，事件经理均有权直接升级至公司总经理。</w:t>
      </w:r>
    </w:p>
    <w:p w14:paraId="3BD94EE9">
      <w:pPr>
        <w:pStyle w:val="30"/>
        <w:bidi w:val="0"/>
        <w:rPr>
          <w:rFonts w:hint="eastAsia"/>
          <w:lang w:val="en-US" w:eastAsia="zh-CN"/>
        </w:rPr>
      </w:pPr>
      <w:bookmarkStart w:id="21" w:name="_Toc11980"/>
      <w:r>
        <w:rPr>
          <w:rFonts w:hint="eastAsia"/>
          <w:lang w:val="en-US" w:eastAsia="zh-CN"/>
        </w:rPr>
        <w:t>常见事件类别（软件运维聚焦）</w:t>
      </w:r>
      <w:bookmarkEnd w:id="21"/>
    </w:p>
    <w:p w14:paraId="3E984CE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应用功能缺陷：业务逻辑错误、UI/UX故障、流程中断。</w:t>
      </w:r>
    </w:p>
    <w:p w14:paraId="7BE35C2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性能与可用性：应用响应超时、吞吐量下降、服务可用性波动。</w:t>
      </w:r>
    </w:p>
    <w:p w14:paraId="60A83E2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数据问题：数据不一致、计算错误、数据同步延迟或丢失。</w:t>
      </w:r>
    </w:p>
    <w:p w14:paraId="03EA06C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集成与接口故障：API调用失败、消息队列堆积、第三方服务依赖中断。</w:t>
      </w:r>
    </w:p>
    <w:p w14:paraId="1361719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安全与合规事件：漏洞被利用、未授权访问尝试、敏感数据泄露风险、合规审计不合规项。</w:t>
      </w:r>
    </w:p>
    <w:p w14:paraId="671630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配置与发布问题：错误配置推送、版本发布回滚、环境配置不一致。</w:t>
      </w:r>
    </w:p>
    <w:p w14:paraId="49F82A8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监控与预警：基于阈值的性能预警、容量预警、业务指标异常告警。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11111"/>
      <w:r>
        <w:rPr>
          <w:rFonts w:hint="eastAsia"/>
          <w:lang w:val="en-US" w:eastAsia="zh-CN"/>
        </w:rPr>
        <w:t>考核指标</w:t>
      </w:r>
      <w:bookmarkEnd w:id="22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660"/>
        <w:gridCol w:w="69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事件解决率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3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成功解决事件数/已关闭事件总数</w:t>
            </w:r>
          </w:p>
        </w:tc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月度</w:t>
            </w:r>
          </w:p>
        </w:tc>
      </w:tr>
      <w:tr w14:paraId="7B128F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46D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事件解决用户满意度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B2BF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3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FAEF9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（调查结果为满意、非常满意的用户数量/调查满意度用户总数）*100%</w:t>
            </w:r>
          </w:p>
        </w:tc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21B9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5CA34D3F">
      <w:pPr>
        <w:pStyle w:val="28"/>
        <w:bidi w:val="0"/>
        <w:rPr>
          <w:rFonts w:hint="eastAsia"/>
          <w:lang w:val="en-US" w:eastAsia="zh-CN"/>
        </w:rPr>
      </w:pPr>
      <w:bookmarkStart w:id="23" w:name="_Toc30880"/>
      <w:r>
        <w:rPr>
          <w:rFonts w:hint="eastAsia"/>
          <w:lang w:val="en-US" w:eastAsia="zh-CN"/>
        </w:rPr>
        <w:t>附则</w:t>
      </w:r>
      <w:bookmarkEnd w:id="23"/>
    </w:p>
    <w:p w14:paraId="22A4206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本制度由数智运营部负责解释与修订。</w:t>
      </w:r>
    </w:p>
    <w:p w14:paraId="0BC660C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本制度自发布之日起生效。所有相关员工必须遵照执行。</w:t>
      </w:r>
    </w:p>
    <w:p w14:paraId="6456EC2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本制度涉及的《事件记录单》、《事件升级记录表》等操作模板，由数智运营部负责制定与维护。</w:t>
      </w:r>
    </w:p>
    <w:p w14:paraId="5F1907A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事件管理流程的具体绩效指标与目标值，由数智运营部协同质量管理部，依据各项目《服务级别协议》及公司质量目标另行制定与考核。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1E15F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210631"/>
    <w:rsid w:val="071F26EB"/>
    <w:rsid w:val="079262EF"/>
    <w:rsid w:val="07EA590F"/>
    <w:rsid w:val="11FD1510"/>
    <w:rsid w:val="1B1A68A3"/>
    <w:rsid w:val="1F8756D4"/>
    <w:rsid w:val="2B14398C"/>
    <w:rsid w:val="33B421B0"/>
    <w:rsid w:val="3FE85D7B"/>
    <w:rsid w:val="4DC42B98"/>
    <w:rsid w:val="4F3D2C02"/>
    <w:rsid w:val="57911D3D"/>
    <w:rsid w:val="59B07142"/>
    <w:rsid w:val="61AD1ED8"/>
    <w:rsid w:val="6E1319F0"/>
    <w:rsid w:val="6F5E2C53"/>
    <w:rsid w:val="75114567"/>
    <w:rsid w:val="755322C0"/>
    <w:rsid w:val="78926076"/>
    <w:rsid w:val="7CC00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2633</Words>
  <Characters>2768</Characters>
  <Lines>0</Lines>
  <Paragraphs>0</Paragraphs>
  <TotalTime>0</TotalTime>
  <ScaleCrop>false</ScaleCrop>
  <LinksUpToDate>false</LinksUpToDate>
  <CharactersWithSpaces>2875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2026-01-28T12:53:54Z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