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FA57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09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7545B8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56"/>
      <w:r>
        <w:rPr>
          <w:rFonts w:hint="eastAsia"/>
          <w:lang w:val="en-US" w:eastAsia="zh-CN"/>
        </w:rPr>
        <w:t>翔云系统运维服务项目过程量化指标</w:t>
      </w:r>
      <w:bookmarkEnd w:id="1"/>
    </w:p>
    <w:p w14:paraId="122152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4E18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3E7BB7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CED0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679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A18B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1E59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A67B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DBCFD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75851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A4BC2E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4B37B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D6CA07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C9013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5AADE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_Toc25097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F921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翔云系统运维服务项目过程量化指标</w:t>
          </w:r>
          <w:r>
            <w:tab/>
          </w:r>
          <w:r>
            <w:fldChar w:fldCharType="begin"/>
          </w:r>
          <w:r>
            <w:instrText xml:space="preserve"> PAGEREF _Toc456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43C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EDEEB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20"/>
        <w:tblW w:w="141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36"/>
        <w:gridCol w:w="1259"/>
        <w:gridCol w:w="2282"/>
        <w:gridCol w:w="965"/>
        <w:gridCol w:w="6292"/>
        <w:gridCol w:w="1047"/>
        <w:gridCol w:w="1280"/>
      </w:tblGrid>
      <w:tr w14:paraId="2C446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tblHeader/>
          <w:jc w:val="center"/>
        </w:trPr>
        <w:tc>
          <w:tcPr>
            <w:tcW w:w="141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/>
            <w:vAlign w:val="center"/>
          </w:tcPr>
          <w:p w14:paraId="48AEE4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b/>
                <w:bCs/>
                <w:shd w:val="clear"/>
                <w:lang w:val="en-US" w:eastAsia="zh-CN"/>
              </w:rPr>
              <w:t>翔云系统运维服务项目过程量化指标</w:t>
            </w:r>
          </w:p>
        </w:tc>
      </w:tr>
      <w:tr w14:paraId="0F80A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C0C0C0"/>
            <w:noWrap/>
            <w:vAlign w:val="center"/>
          </w:tcPr>
          <w:p w14:paraId="1C0F76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189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743F44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0C78C4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7B440E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6B55A3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46FC46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频度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C0C0C0"/>
            <w:vAlign w:val="center"/>
          </w:tcPr>
          <w:p w14:paraId="21DC6E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责任部门</w:t>
            </w:r>
          </w:p>
        </w:tc>
      </w:tr>
      <w:tr w14:paraId="2FF78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15B802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95DDA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过程指标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E263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服务级别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CDF7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SLA达成率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934C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FC5B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达到服务级别要求的事件数/应达到服务级别要求的事件总数*100%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E4B7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37684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79980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318AFB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6D97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2FB1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服务报告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3BAC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服务报告交付及时率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CFB2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DAB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（服务报告按时提交的数量/服务报告总数量）*100%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D8C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70BE9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6CD00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vMerge w:val="restart"/>
            <w:tcBorders>
              <w:top w:val="single" w:color="auto" w:sz="4" w:space="0"/>
              <w:left w:val="nil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10C949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242C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720E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事件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3926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事件解决率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4192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BB32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成功解决事件数/已关闭事件总数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0D03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014AA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1217F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vMerge w:val="continue"/>
            <w:tcBorders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2CC6E4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AE82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B4A8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52FD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事件解决用户满意度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BB33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3161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（调查结果为满意、非常满意的用户数量/调查满意度用户总数）*100%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4DCF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1C0C7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05720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436" w:type="dxa"/>
            <w:vMerge w:val="restart"/>
            <w:tcBorders>
              <w:top w:val="single" w:color="auto" w:sz="4" w:space="0"/>
              <w:left w:val="nil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41CC68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F145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D944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B931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问题转知识的比率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7280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26C1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问题转知识库的总数/已解决的问题总数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0533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944D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27629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vMerge w:val="continue"/>
            <w:tcBorders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39A963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F067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3746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8586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问题解决率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FEF5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FA08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（已解决的问题数量/问题总数）*100%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623C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36172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1CA68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5A7212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2DD5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8797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配置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4A42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配置数据的准确率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3EF7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237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（配置数据匹配数/配置数据总数）*100%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2FC5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半年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2972B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5A515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1F4E24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B721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9E3A0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变更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E476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变更成功率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5B03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≥98%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0610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（变更成功的数量/变更总数)*100%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3EFD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C700D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5AC1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77E796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D9A6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832C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发布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6449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发布成功率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CA6A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≥98%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D5E5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（发布成功的数量/发布总数）*100%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086F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DBF9B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4E9E8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vMerge w:val="restart"/>
            <w:tcBorders>
              <w:top w:val="single" w:color="auto" w:sz="4" w:space="0"/>
              <w:left w:val="nil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561D3D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986C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48BF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E322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服务可用率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476AF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≥90%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9E61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服务实际可用时间/服务计划可用时间*100%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5778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8DF00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655BE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vMerge w:val="continue"/>
            <w:tcBorders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1C6F9B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99A7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3AE9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2C4F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服务故障中断次数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D656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9FD4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数量，因服务故障导致的服务中断次数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7D63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D2E2C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52F4B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25BB45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407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D11F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容量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190A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容量事件数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7111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4E59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数量，因容量导致的事件次数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65A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8944D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  <w:tr w14:paraId="11B2E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noWrap/>
            <w:vAlign w:val="center"/>
          </w:tcPr>
          <w:p w14:paraId="60C422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10</w:t>
            </w:r>
            <w:bookmarkStart w:id="2" w:name="_GoBack"/>
            <w:bookmarkEnd w:id="2"/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56E4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4683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信息安全</w:t>
            </w:r>
          </w:p>
        </w:tc>
        <w:tc>
          <w:tcPr>
            <w:tcW w:w="2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1AB3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信息安全事件数量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4D87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≤1次</w:t>
            </w:r>
          </w:p>
        </w:tc>
        <w:tc>
          <w:tcPr>
            <w:tcW w:w="6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22F5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我方人员造成信息安全事件的次数</w:t>
            </w:r>
          </w:p>
        </w:tc>
        <w:tc>
          <w:tcPr>
            <w:tcW w:w="1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C77A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605BB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数智运营部</w:t>
            </w:r>
          </w:p>
        </w:tc>
      </w:tr>
    </w:tbl>
    <w:p w14:paraId="1BD6C22B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9B6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50044F"/>
    <w:rsid w:val="03936A63"/>
    <w:rsid w:val="04B32D9C"/>
    <w:rsid w:val="09A11A04"/>
    <w:rsid w:val="0FCE72CB"/>
    <w:rsid w:val="0FE12B5A"/>
    <w:rsid w:val="149605BA"/>
    <w:rsid w:val="14E629C1"/>
    <w:rsid w:val="15A5287C"/>
    <w:rsid w:val="17BF6BB6"/>
    <w:rsid w:val="18AD712C"/>
    <w:rsid w:val="19646AC5"/>
    <w:rsid w:val="1B0015C3"/>
    <w:rsid w:val="1CD557F5"/>
    <w:rsid w:val="22D36C7A"/>
    <w:rsid w:val="26215F4F"/>
    <w:rsid w:val="26667E05"/>
    <w:rsid w:val="346E05B1"/>
    <w:rsid w:val="37A442EA"/>
    <w:rsid w:val="3CBB6BAF"/>
    <w:rsid w:val="3E966151"/>
    <w:rsid w:val="40FB7670"/>
    <w:rsid w:val="44772893"/>
    <w:rsid w:val="44DA0F7A"/>
    <w:rsid w:val="49C01457"/>
    <w:rsid w:val="49EF7646"/>
    <w:rsid w:val="4D5325E2"/>
    <w:rsid w:val="5681417F"/>
    <w:rsid w:val="576F04B9"/>
    <w:rsid w:val="580C3AB9"/>
    <w:rsid w:val="5C533A65"/>
    <w:rsid w:val="5D347D3A"/>
    <w:rsid w:val="632E1679"/>
    <w:rsid w:val="68522B6F"/>
    <w:rsid w:val="69D974DD"/>
    <w:rsid w:val="6A3B1281"/>
    <w:rsid w:val="6C445178"/>
    <w:rsid w:val="6CA95923"/>
    <w:rsid w:val="6DCF15C0"/>
    <w:rsid w:val="703379DD"/>
    <w:rsid w:val="707F70C6"/>
    <w:rsid w:val="714E3A8E"/>
    <w:rsid w:val="728E539F"/>
    <w:rsid w:val="7395275D"/>
    <w:rsid w:val="73BB0416"/>
    <w:rsid w:val="75BD5AAB"/>
    <w:rsid w:val="77B31048"/>
    <w:rsid w:val="7A922BB4"/>
    <w:rsid w:val="7AA67D02"/>
    <w:rsid w:val="7C3F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1313</Words>
  <Characters>1519</Characters>
  <Lines>0</Lines>
  <Paragraphs>0</Paragraphs>
  <TotalTime>1</TotalTime>
  <ScaleCrop>false</ScaleCrop>
  <LinksUpToDate>false</LinksUpToDate>
  <CharactersWithSpaces>1525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