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46FE006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3316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54696B5B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16717"/>
      <w:r>
        <w:rPr>
          <w:rFonts w:hint="eastAsia"/>
          <w:lang w:val="en-US" w:eastAsia="zh-CN"/>
        </w:rPr>
        <w:t>过程框架需求分析报告</w:t>
      </w:r>
      <w:bookmarkEnd w:id="1"/>
    </w:p>
    <w:p w14:paraId="1221526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13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34E184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3E7BB7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数智运营部</w:t>
            </w:r>
          </w:p>
        </w:tc>
        <w:tc>
          <w:tcPr>
            <w:tcW w:w="2708" w:type="dxa"/>
          </w:tcPr>
          <w:p w14:paraId="5CED0D1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5679B9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6A18BDA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641E597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0A67BB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3DBCFD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4758518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60E642C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64B37B2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徐超超</w:t>
            </w:r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21184DF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hint="eastAsia" w:ascii="宋体" w:hAnsi="宋体" w:eastAsia="宋体" w:cs="宋体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72166921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312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4853401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_Toc23316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_Toc23316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9566F5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_Toc16717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过程框架需求分析报告</w:t>
          </w:r>
          <w:r>
            <w:tab/>
          </w:r>
          <w:r>
            <w:fldChar w:fldCharType="begin"/>
          </w:r>
          <w:r>
            <w:instrText xml:space="preserve"> PAGEREF _Toc16717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C457B0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_Toc13552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摘要</w:t>
          </w:r>
          <w:r>
            <w:tab/>
          </w:r>
          <w:r>
            <w:fldChar w:fldCharType="begin"/>
          </w:r>
          <w:r>
            <w:instrText xml:space="preserve"> PAGEREF _Toc13552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2B805B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_Toc19341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项目背景与目标</w:t>
          </w:r>
          <w:r>
            <w:tab/>
          </w:r>
          <w:r>
            <w:fldChar w:fldCharType="begin"/>
          </w:r>
          <w:r>
            <w:instrText xml:space="preserve"> PAGEREF _Toc19341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22F6BC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_Toc17881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 背景</w:t>
          </w:r>
          <w:r>
            <w:tab/>
          </w:r>
          <w:r>
            <w:fldChar w:fldCharType="begin"/>
          </w:r>
          <w:r>
            <w:instrText xml:space="preserve"> PAGEREF _Toc17881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3BB2F7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_Toc9344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 目标</w:t>
          </w:r>
          <w:r>
            <w:tab/>
          </w:r>
          <w:r>
            <w:fldChar w:fldCharType="begin"/>
          </w:r>
          <w:r>
            <w:instrText xml:space="preserve"> PAGEREF _Toc9344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42A129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_Toc18455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核心需求分析</w:t>
          </w:r>
          <w:r>
            <w:tab/>
          </w:r>
          <w:r>
            <w:fldChar w:fldCharType="begin"/>
          </w:r>
          <w:r>
            <w:instrText xml:space="preserve"> PAGEREF _Toc18455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E3C090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_Toc26145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框架设计原则</w:t>
          </w:r>
          <w:r>
            <w:tab/>
          </w:r>
          <w:r>
            <w:fldChar w:fldCharType="begin"/>
          </w:r>
          <w:r>
            <w:instrText xml:space="preserve"> PAGEREF _Toc26145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0EB647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_Toc23365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框架结构与逻辑关系</w:t>
          </w:r>
          <w:r>
            <w:tab/>
          </w:r>
          <w:r>
            <w:fldChar w:fldCharType="begin"/>
          </w:r>
          <w:r>
            <w:instrText xml:space="preserve"> PAGEREF _Toc23365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CDB1F6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_Toc4349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 框架结构</w:t>
          </w:r>
          <w:r>
            <w:tab/>
          </w:r>
          <w:r>
            <w:fldChar w:fldCharType="begin"/>
          </w:r>
          <w:r>
            <w:instrText xml:space="preserve"> PAGEREF _Toc4349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AF0204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_Toc26521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5.2. 关键流程逻辑关系图</w:t>
          </w:r>
          <w:r>
            <w:tab/>
          </w:r>
          <w:r>
            <w:fldChar w:fldCharType="begin"/>
          </w:r>
          <w:r>
            <w:instrText xml:space="preserve"> PAGEREF _Toc26521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8DC299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_Toc5866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关键设计决策</w:t>
          </w:r>
          <w:r>
            <w:tab/>
          </w:r>
          <w:r>
            <w:fldChar w:fldCharType="begin"/>
          </w:r>
          <w:r>
            <w:instrText xml:space="preserve"> PAGEREF _Toc5866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916152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_Toc24634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 结论与建议</w:t>
          </w:r>
          <w:r>
            <w:tab/>
          </w:r>
          <w:r>
            <w:fldChar w:fldCharType="begin"/>
          </w:r>
          <w:r>
            <w:instrText xml:space="preserve"> PAGEREF _Toc24634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EE1278D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312" w:lineRule="auto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0DC869B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7F44CBB3">
      <w:pPr>
        <w:pStyle w:val="28"/>
        <w:bidi w:val="0"/>
        <w:rPr>
          <w:rFonts w:hint="default"/>
          <w:lang w:val="en-US" w:eastAsia="zh-CN"/>
        </w:rPr>
      </w:pPr>
      <w:bookmarkStart w:id="2" w:name="_Toc13552"/>
      <w:r>
        <w:rPr>
          <w:rFonts w:hint="default"/>
          <w:lang w:val="en-US" w:eastAsia="zh-CN"/>
        </w:rPr>
        <w:t>摘要</w:t>
      </w:r>
      <w:bookmarkEnd w:id="2"/>
    </w:p>
    <w:p w14:paraId="7FA83CE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报告旨在系统分析并阐明公司构建统一运维过程管理框架（以下简称“过程框架”）的核心需求与设计依据。框架以《服务级别管理制度》等十项制度为主体，旨在建立一套标准化、端到端、闭环管理的运维管理体系，以支持公司作为“纯软件运维服务商”的战略定位，保障服务交付的质量、效率与合规性，实现从被动响应到主动预防、从项目经验到组织能力的根本转变。</w:t>
      </w:r>
    </w:p>
    <w:p w14:paraId="2E8FFA71">
      <w:pPr>
        <w:pStyle w:val="28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</w:t>
      </w:r>
      <w:bookmarkStart w:id="3" w:name="_Toc19341"/>
      <w:r>
        <w:rPr>
          <w:rFonts w:hint="default"/>
          <w:lang w:val="en-US" w:eastAsia="zh-CN"/>
        </w:rPr>
        <w:t>项目背景与目标</w:t>
      </w:r>
      <w:bookmarkEnd w:id="3"/>
    </w:p>
    <w:p w14:paraId="040CBCA0">
      <w:pPr>
        <w:pStyle w:val="30"/>
        <w:bidi w:val="0"/>
        <w:rPr>
          <w:rFonts w:hint="default"/>
          <w:lang w:val="en-US" w:eastAsia="zh-CN"/>
        </w:rPr>
      </w:pPr>
      <w:bookmarkStart w:id="4" w:name="_Toc17881"/>
      <w:r>
        <w:rPr>
          <w:rFonts w:hint="default"/>
          <w:lang w:val="en-US" w:eastAsia="zh-CN"/>
        </w:rPr>
        <w:t>背景</w:t>
      </w:r>
      <w:bookmarkEnd w:id="4"/>
    </w:p>
    <w:p w14:paraId="620EB56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公司作为专业的软件运维服务商，业务规模与服务复杂度持续增长。然而，原有的运维管理实践多依赖于个人经验与项目习惯，存在以下突出问题：</w:t>
      </w:r>
    </w:p>
    <w:p w14:paraId="0CA4C98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过程不统一：各项目服务交付方式、事件处理标准、报告格式各异，服务质量波动大。</w:t>
      </w:r>
    </w:p>
    <w:p w14:paraId="66686CB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职责不清晰：跨部门（数智运营部、研究总院、质量管理部等）协同界面模糊，出现问题时易产生推诿。</w:t>
      </w:r>
    </w:p>
    <w:p w14:paraId="1CA65FC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信息不连贯：事件、问题、变更、配置等管理活动相互孤立，数据无法有效流转，难以进行根本原因分析和持续改进。</w:t>
      </w:r>
    </w:p>
    <w:p w14:paraId="4AE3CFF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风险不可控：对服务中断、安全事件、容量瓶颈等缺乏系统性的预防、监控和应急恢复机制。</w:t>
      </w:r>
    </w:p>
    <w:p w14:paraId="4169DD0A">
      <w:pPr>
        <w:pStyle w:val="30"/>
        <w:bidi w:val="0"/>
        <w:rPr>
          <w:rFonts w:hint="default"/>
          <w:lang w:val="en-US" w:eastAsia="zh-CN"/>
        </w:rPr>
      </w:pPr>
      <w:bookmarkStart w:id="5" w:name="_Toc9344"/>
      <w:r>
        <w:rPr>
          <w:rFonts w:hint="default"/>
          <w:lang w:val="en-US" w:eastAsia="zh-CN"/>
        </w:rPr>
        <w:t>目标</w:t>
      </w:r>
      <w:bookmarkEnd w:id="5"/>
    </w:p>
    <w:p w14:paraId="2C4A424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构建过程框架的总体目标是：“建立一套语言统一、权责清晰、过程受控、持续改进的运维管理操作系统”。具体目标包括：</w:t>
      </w:r>
    </w:p>
    <w:p w14:paraId="62CF917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标准化：定义各项运维活动的标准流程、角色职责与输出模板。</w:t>
      </w:r>
    </w:p>
    <w:p w14:paraId="1310BAA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可衡量：为所有关键服务活动设定可量化的绩效指标（KPI），并与服务级别协议（SLA）对齐。</w:t>
      </w:r>
    </w:p>
    <w:p w14:paraId="7D5FD9F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可追溯：确保从客户需求到服务交付、从事件发生到问题根治的全过程信息可记录、可跟踪。</w:t>
      </w:r>
    </w:p>
    <w:p w14:paraId="4CF2E7F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强韧性：嵌入服务连续性、容量管理及信息安全管理要求，提升整体服务韧性与风险应对能力。</w:t>
      </w:r>
    </w:p>
    <w:p w14:paraId="1E3D31C5">
      <w:pPr>
        <w:pStyle w:val="28"/>
        <w:bidi w:val="0"/>
        <w:rPr>
          <w:rFonts w:hint="default"/>
          <w:lang w:val="en-US" w:eastAsia="zh-CN"/>
        </w:rPr>
      </w:pPr>
      <w:bookmarkStart w:id="6" w:name="_Toc18455"/>
      <w:r>
        <w:rPr>
          <w:rFonts w:hint="default"/>
          <w:lang w:val="en-US" w:eastAsia="zh-CN"/>
        </w:rPr>
        <w:t>核心需求分析</w:t>
      </w:r>
      <w:bookmarkEnd w:id="6"/>
    </w:p>
    <w:tbl>
      <w:tblPr>
        <w:tblStyle w:val="20"/>
        <w:tblW w:w="90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96"/>
        <w:gridCol w:w="4399"/>
        <w:gridCol w:w="3729"/>
      </w:tblGrid>
      <w:tr w14:paraId="7378FF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3105BE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需求类别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2D864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具体需求描述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010B0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对应制度/设计</w:t>
            </w:r>
          </w:p>
        </w:tc>
      </w:tr>
      <w:tr w14:paraId="47D64B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5A2A68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业务合规需求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11D80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满足客户合同及SLA中明确约定的服务管理要求。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AD8BCA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《服务级别管理制度》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《服务报告管理制度》</w:t>
            </w:r>
          </w:p>
        </w:tc>
      </w:tr>
      <w:tr w14:paraId="2B1563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tcBorders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DC6623A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5A28A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符合国家及行业相关标准（如ITSS、信息安全等保）的体系化要求。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AE73D4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贯穿所有制度，尤其在《质量管理部》、《信息安全管理》职责中体现。</w:t>
            </w:r>
          </w:p>
        </w:tc>
      </w:tr>
      <w:tr w14:paraId="1079DF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0B2141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服务交付需求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44288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建立统一、高效的服务请求与故障处理通道，快速恢复服务。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8F3C97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《事件管理制度》（含服务台）</w:t>
            </w:r>
          </w:p>
        </w:tc>
      </w:tr>
      <w:tr w14:paraId="70A29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tcBorders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33D7337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C1494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4. 系统化地分析重复性故障根本原因，防止问题复发。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F2E3B0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《问题管理制度》</w:t>
            </w:r>
          </w:p>
        </w:tc>
      </w:tr>
      <w:tr w14:paraId="157F05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tcBorders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D60BDC3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02662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5. 对所有生产环境的变更进行严格控制，杜绝未经授权的操作。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C3E3D8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《变更管理制度》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《发布管理制度》</w:t>
            </w:r>
          </w:p>
        </w:tc>
      </w:tr>
      <w:tr w14:paraId="6F610F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71809D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运营支撑需求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14222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6. 建立准确、可信的服务资产信息库，支撑高效决策与影响分析。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98726A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《配置管理制度》</w:t>
            </w:r>
          </w:p>
        </w:tc>
      </w:tr>
      <w:tr w14:paraId="04AD39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tcBorders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FC8DEBB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84D0C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7. 前瞻性地管理资源容量，预防性能瓶颈。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AEBF90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《容量管理制度》</w:t>
            </w:r>
          </w:p>
        </w:tc>
      </w:tr>
      <w:tr w14:paraId="1621CE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tcBorders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A3E9DFF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1056C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8. 确保关键服务的预定可用性，并具备灾难恢复能力。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A604CD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《服务可用性和连续性管理制度》</w:t>
            </w:r>
          </w:p>
        </w:tc>
      </w:tr>
      <w:tr w14:paraId="7E2C7F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6F8EFF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风险控制需求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52CFD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9. 全面管理信息安全风险，保护客户及公司核心数据资产。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4B2E3E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《信息安全管理制度》</w:t>
            </w:r>
          </w:p>
        </w:tc>
      </w:tr>
      <w:tr w14:paraId="02E8C2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tcBorders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597FC3F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1B84A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10. 建立明确的审计与监督机制，确保所有流程得到有效执行。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F33DC8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贯穿所有制度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，由《质量管理部》主导。</w:t>
            </w:r>
          </w:p>
        </w:tc>
      </w:tr>
      <w:tr w14:paraId="3BE9A3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96A81A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bookmarkStart w:id="13" w:name="_GoBack" w:colFirst="0" w:colLast="0"/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组织协同需求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68208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11. 明确跨部门（数智运营部、研究总院、质量、人力、应急）的协同职责与接口。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2A80C7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各制度“角色与职责”章节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及流程接口部分。</w:t>
            </w:r>
          </w:p>
        </w:tc>
      </w:tr>
      <w:bookmarkEnd w:id="13"/>
      <w:tr w14:paraId="542A7D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tcBorders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48B9E2B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78D91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12. 将个人经验转化为组织知识，降低对关键个人的依赖。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FD703B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《问题管理》（知识转化）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《服务知识专员》岗位</w:t>
            </w:r>
          </w:p>
        </w:tc>
      </w:tr>
    </w:tbl>
    <w:p w14:paraId="65A4D362">
      <w:pPr>
        <w:pStyle w:val="29"/>
        <w:rPr>
          <w:rFonts w:hint="default"/>
          <w:lang w:val="en-US" w:eastAsia="zh-CN"/>
        </w:rPr>
      </w:pPr>
    </w:p>
    <w:p w14:paraId="6C4E358D">
      <w:pPr>
        <w:pStyle w:val="28"/>
        <w:bidi w:val="0"/>
        <w:rPr>
          <w:rFonts w:hint="default"/>
          <w:lang w:val="en-US" w:eastAsia="zh-CN"/>
        </w:rPr>
      </w:pPr>
      <w:bookmarkStart w:id="7" w:name="_Toc26145"/>
      <w:r>
        <w:rPr>
          <w:rFonts w:hint="default"/>
          <w:lang w:val="en-US" w:eastAsia="zh-CN"/>
        </w:rPr>
        <w:t>框架设计原则</w:t>
      </w:r>
      <w:bookmarkEnd w:id="7"/>
    </w:p>
    <w:p w14:paraId="22A8625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为确保框架的实用性与前瞻性，设计遵循以下原则：</w:t>
      </w:r>
    </w:p>
    <w:p w14:paraId="1F931F8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客户导向原则：以SLA为起点和终点，所有流程设计均服务于达成并超越客户期望。</w:t>
      </w:r>
    </w:p>
    <w:p w14:paraId="7EC4196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流程闭环原则：每个关键管理活动（如事件、问题、变更）都必须形成“计划-执行-检查-处理”（PDCA）闭环，并有明确的输入、输出和考核指标。</w:t>
      </w:r>
    </w:p>
    <w:p w14:paraId="79FEE67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集成联动原则：各流程不是孤立的，而是通过清晰的接口（如事件触发问题、变更更新配置）紧密耦合，形成有机整体。</w:t>
      </w:r>
    </w:p>
    <w:p w14:paraId="72084EA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角色岗位对应原则：流程中的角色必须与公司现有组织架构和岗位说明书明确对应，确保责任落地。</w:t>
      </w:r>
    </w:p>
    <w:p w14:paraId="2E6C8CA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风险与质量内嵌原则：将质量控制、信息安全和连续性管理的要求融入每一个核心运维流程，而非事后补救。</w:t>
      </w:r>
    </w:p>
    <w:p w14:paraId="7B1E3E2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工具支撑原则：框架设计需考虑到未来运维管理平台（ITSM）的支撑，流程与工具能力相匹配。</w:t>
      </w:r>
    </w:p>
    <w:p w14:paraId="1FF8F6F9">
      <w:pPr>
        <w:pStyle w:val="28"/>
        <w:bidi w:val="0"/>
        <w:rPr>
          <w:rFonts w:hint="default"/>
          <w:lang w:val="en-US" w:eastAsia="zh-CN"/>
        </w:rPr>
      </w:pPr>
      <w:bookmarkStart w:id="8" w:name="_Toc23365"/>
      <w:r>
        <w:rPr>
          <w:rFonts w:hint="default"/>
          <w:lang w:val="en-US" w:eastAsia="zh-CN"/>
        </w:rPr>
        <w:t>框架结构与逻辑关系</w:t>
      </w:r>
      <w:bookmarkEnd w:id="8"/>
    </w:p>
    <w:p w14:paraId="5A42A3A6">
      <w:pPr>
        <w:pStyle w:val="30"/>
        <w:bidi w:val="0"/>
        <w:rPr>
          <w:rFonts w:hint="default"/>
          <w:lang w:val="en-US" w:eastAsia="zh-CN"/>
        </w:rPr>
      </w:pPr>
      <w:bookmarkStart w:id="9" w:name="_Toc4349"/>
      <w:r>
        <w:rPr>
          <w:rFonts w:hint="default"/>
          <w:lang w:val="en-US" w:eastAsia="zh-CN"/>
        </w:rPr>
        <w:t>框架结构</w:t>
      </w:r>
      <w:bookmarkEnd w:id="9"/>
    </w:p>
    <w:p w14:paraId="4A481DE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过程框架采用 “三层驱动、两类保障” 的核心结构：</w:t>
      </w:r>
    </w:p>
    <w:p w14:paraId="69BCFFE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目标驱动层：以《服务级别管理》为核心，定义服务目标与价值。</w:t>
      </w:r>
    </w:p>
    <w:p w14:paraId="139CAA5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核心交付层：包含 服务运营主线（事件-问题-变更-发布）和 基础数据主线（配置管理），是日常服务交付的核心。</w:t>
      </w:r>
    </w:p>
    <w:p w14:paraId="4A7A760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效能保障层：由《容量管理》、《可用性与连续性管理》构成，关注服务的稳定与可持续性。</w:t>
      </w:r>
    </w:p>
    <w:p w14:paraId="58059D6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全域保障层：由《信息安全管理》提供覆盖所有活动的安全基线，《质量管理》提供独立监督与改进驱动，二者横向贯穿所有层次。</w:t>
      </w:r>
    </w:p>
    <w:p w14:paraId="0F8988C0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</w:t>
      </w:r>
      <w:bookmarkStart w:id="10" w:name="_Toc26521"/>
      <w:r>
        <w:rPr>
          <w:rFonts w:hint="default"/>
          <w:lang w:val="en-US" w:eastAsia="zh-CN"/>
        </w:rPr>
        <w:t>关键流程逻辑关系图</w:t>
      </w:r>
      <w:bookmarkEnd w:id="10"/>
    </w:p>
    <w:p w14:paraId="79C58357">
      <w:pPr>
        <w:pStyle w:val="29"/>
        <w:rPr>
          <w:rFonts w:hint="default"/>
          <w:lang w:val="en-US" w:eastAsia="zh-CN"/>
        </w:rPr>
      </w:pPr>
      <w:r>
        <w:drawing>
          <wp:inline distT="0" distB="0" distL="114300" distR="114300">
            <wp:extent cx="5269865" cy="3070860"/>
            <wp:effectExtent l="0" t="0" r="3175" b="762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070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B631B0">
      <w:pPr>
        <w:pStyle w:val="28"/>
        <w:bidi w:val="0"/>
        <w:rPr>
          <w:rFonts w:hint="default"/>
          <w:lang w:val="en-US" w:eastAsia="zh-CN"/>
        </w:rPr>
      </w:pPr>
      <w:bookmarkStart w:id="11" w:name="_Toc5866"/>
      <w:r>
        <w:rPr>
          <w:rFonts w:hint="default"/>
          <w:lang w:val="en-US" w:eastAsia="zh-CN"/>
        </w:rPr>
        <w:t>关键设计决策</w:t>
      </w:r>
      <w:bookmarkEnd w:id="11"/>
    </w:p>
    <w:p w14:paraId="19F3A24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聚焦“纯软件”：在事件分类、配置项范围、容量对象定义中，明确聚焦于应用程序、数据、API、云资源等软件资产，剥离了传统IT硬件运维内容。</w:t>
      </w:r>
    </w:p>
    <w:p w14:paraId="6AEC275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设立“应急管理部”接口：在《事件管理》和《服务可用性和连续性管理》中，明确P0/P1事件与服务连续性应急由应急管理部主导，实现了日常运维与应急指挥的平战分离与有序衔接。</w:t>
      </w:r>
    </w:p>
    <w:p w14:paraId="4EAB4C6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强化“知识转化”：在《问题管理》中设定“问题转知识比率”KPI，并通过设立“服务知识专员”岗位，确保经验得以有效沉淀和复用。</w:t>
      </w:r>
    </w:p>
    <w:p w14:paraId="3504C79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建立“虚拟决策组织”：通过《变更管理》中的“变更顾问委员会”（CAB）和《信息安全》中的“信息安全管理团队”，建立跨部门的决策与协同机制，打破部门墙。</w:t>
      </w:r>
    </w:p>
    <w:p w14:paraId="56BEFC9F">
      <w:pPr>
        <w:pStyle w:val="28"/>
        <w:bidi w:val="0"/>
        <w:rPr>
          <w:rFonts w:hint="default"/>
          <w:lang w:val="en-US" w:eastAsia="zh-CN"/>
        </w:rPr>
      </w:pPr>
      <w:bookmarkStart w:id="12" w:name="_Toc24634"/>
      <w:r>
        <w:rPr>
          <w:rFonts w:hint="default"/>
          <w:lang w:val="en-US" w:eastAsia="zh-CN"/>
        </w:rPr>
        <w:t>结论与建议</w:t>
      </w:r>
      <w:bookmarkEnd w:id="12"/>
    </w:p>
    <w:p w14:paraId="31BA31F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本需求分析表明，构建并实施此套过程框架，是公司提升软件运维服务专业化、标准化和规模化能力的必要且紧迫的基础工程。该框架设计紧密结合业务实际，逻辑清晰，职责明确，具备良好的可执行性。</w:t>
      </w:r>
    </w:p>
    <w:p w14:paraId="7C6A672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建议：</w:t>
      </w:r>
    </w:p>
    <w:p w14:paraId="0F5230F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立即批准发布：建议公司管理层批准本报告及关联的十项过程管理制度，作为公司级规范正式发布。</w:t>
      </w:r>
    </w:p>
    <w:p w14:paraId="6D330CC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启动全员赋能：由人力部与数智运营部牵头，制定详细的宣贯与培训计划，确保各层级员工理解、掌握并遵循新流程。</w:t>
      </w:r>
    </w:p>
    <w:p w14:paraId="05BE6BA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配套工具优化：建议同步规划或升级运维管理平台（ITSM），以数字化工具固化和简化流程执行，提升效率。</w:t>
      </w:r>
    </w:p>
    <w:p w14:paraId="5E41D61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建立度量体系：依据各制度中的KPI，建立公司级的服务运营仪表盘，持续监控框架运行效能，并以此驱动持续改进。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EAE48FB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29410AB"/>
    <w:rsid w:val="03795BF7"/>
    <w:rsid w:val="045D5BC2"/>
    <w:rsid w:val="0613353C"/>
    <w:rsid w:val="061A5470"/>
    <w:rsid w:val="064E5119"/>
    <w:rsid w:val="06AE7ADB"/>
    <w:rsid w:val="08C416C3"/>
    <w:rsid w:val="0A556F05"/>
    <w:rsid w:val="0C000C64"/>
    <w:rsid w:val="0E285666"/>
    <w:rsid w:val="0FE97C04"/>
    <w:rsid w:val="1AF32FC7"/>
    <w:rsid w:val="1B9D139C"/>
    <w:rsid w:val="1CF814E3"/>
    <w:rsid w:val="1DA358F3"/>
    <w:rsid w:val="1E971C7C"/>
    <w:rsid w:val="1EFD04B3"/>
    <w:rsid w:val="1F4541CC"/>
    <w:rsid w:val="201E5705"/>
    <w:rsid w:val="2099444D"/>
    <w:rsid w:val="220F0DC7"/>
    <w:rsid w:val="25586F13"/>
    <w:rsid w:val="258045AB"/>
    <w:rsid w:val="29D63E6D"/>
    <w:rsid w:val="2A176009"/>
    <w:rsid w:val="2A2953D2"/>
    <w:rsid w:val="3091782D"/>
    <w:rsid w:val="31B639EF"/>
    <w:rsid w:val="31FE610F"/>
    <w:rsid w:val="33D01A3F"/>
    <w:rsid w:val="358D0068"/>
    <w:rsid w:val="35BA7826"/>
    <w:rsid w:val="374A0346"/>
    <w:rsid w:val="3810372D"/>
    <w:rsid w:val="385E26EA"/>
    <w:rsid w:val="39A42C10"/>
    <w:rsid w:val="3F812C30"/>
    <w:rsid w:val="406F733A"/>
    <w:rsid w:val="408D6263"/>
    <w:rsid w:val="480C250C"/>
    <w:rsid w:val="48E22EC4"/>
    <w:rsid w:val="4AA04DE4"/>
    <w:rsid w:val="4F133DD7"/>
    <w:rsid w:val="548359C3"/>
    <w:rsid w:val="56E524FD"/>
    <w:rsid w:val="5C3654BB"/>
    <w:rsid w:val="5CA0214F"/>
    <w:rsid w:val="61891CD7"/>
    <w:rsid w:val="6202713E"/>
    <w:rsid w:val="63095B45"/>
    <w:rsid w:val="674F5770"/>
    <w:rsid w:val="681E5697"/>
    <w:rsid w:val="6A0E1913"/>
    <w:rsid w:val="6A714B0D"/>
    <w:rsid w:val="6AA716B4"/>
    <w:rsid w:val="6B08210E"/>
    <w:rsid w:val="6C4C04D0"/>
    <w:rsid w:val="6CD02EB0"/>
    <w:rsid w:val="6D7B2E1B"/>
    <w:rsid w:val="6FB865A9"/>
    <w:rsid w:val="6FE078AE"/>
    <w:rsid w:val="71FA0BD5"/>
    <w:rsid w:val="754D1541"/>
    <w:rsid w:val="757C5746"/>
    <w:rsid w:val="75E66401"/>
    <w:rsid w:val="7671125F"/>
    <w:rsid w:val="7829776C"/>
    <w:rsid w:val="79D20267"/>
    <w:rsid w:val="7B407452"/>
    <w:rsid w:val="7B7315D6"/>
    <w:rsid w:val="7D256900"/>
    <w:rsid w:val="7E1C5F55"/>
    <w:rsid w:val="7FF802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2511</Words>
  <Characters>2633</Characters>
  <Lines>0</Lines>
  <Paragraphs>0</Paragraphs>
  <TotalTime>0</TotalTime>
  <ScaleCrop>false</ScaleCrop>
  <LinksUpToDate>false</LinksUpToDate>
  <CharactersWithSpaces>2675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2026-01-28T13:05:02Z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2052-12.1.0.24657</vt:lpwstr>
  </property>
  <property fmtid="{D5CDD505-2E9C-101B-9397-08002B2CF9AE}" pid="4" name="KSOTemplateDocerSaveRecord">
    <vt:lpwstr>eyJoZGlkIjoiZWI4NmUzMGY2ODA3MDc4ZTFlMjZjZTAyMjM0NmVmODgiLCJ1c2VySWQiOiIxMDc1MzgyOSJ9</vt:lpwstr>
  </property>
</Properties>
</file>