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FE00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92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-34290</wp:posOffset>
            </wp:positionH>
            <wp:positionV relativeFrom="paragraph">
              <wp:posOffset>-45085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54696B5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1832"/>
      <w:r>
        <w:rPr>
          <w:rFonts w:hint="eastAsia"/>
          <w:lang w:val="en-US" w:eastAsia="zh-CN"/>
        </w:rPr>
        <w:t>翔云系统运维服务项目-服务可用性和连续性计划</w:t>
      </w:r>
      <w:bookmarkEnd w:id="1"/>
    </w:p>
    <w:p w14:paraId="1221526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4E18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E7BB7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5CED0D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679B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A18BD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41E59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A67B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DBCFD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475851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0E642C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4B37B2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1184DF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216692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D5843B0">
          <w:pPr>
            <w:pStyle w:val="16"/>
            <w:tabs>
              <w:tab w:val="right" w:leader="dot" w:pos="8306"/>
            </w:tabs>
          </w:pPr>
          <w:bookmarkStart w:id="21" w:name="_GoBack"/>
          <w:bookmarkEnd w:id="21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_Toc15925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70F8D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翔云系统运维服务项目-服务可用性和连续性计划</w:t>
          </w:r>
          <w:r>
            <w:tab/>
          </w:r>
          <w:r>
            <w:fldChar w:fldCharType="begin"/>
          </w:r>
          <w:r>
            <w:instrText xml:space="preserve"> PAGEREF _Toc11832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35374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计划目标</w:t>
          </w:r>
          <w:r>
            <w:tab/>
          </w:r>
          <w:r>
            <w:fldChar w:fldCharType="begin"/>
          </w:r>
          <w:r>
            <w:instrText xml:space="preserve"> PAGEREF _Toc18055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6375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_Toc15364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可用性保障体系</w:t>
          </w:r>
          <w:r>
            <w:tab/>
          </w:r>
          <w:r>
            <w:fldChar w:fldCharType="begin"/>
          </w:r>
          <w:r>
            <w:instrText xml:space="preserve"> PAGEREF _Toc15364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87A3A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基础设施与工具高可用</w:t>
          </w:r>
          <w:r>
            <w:tab/>
          </w:r>
          <w:r>
            <w:fldChar w:fldCharType="begin"/>
          </w:r>
          <w:r>
            <w:instrText xml:space="preserve"> PAGEREF _Toc31230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DCC2C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团队冗余与备份机制</w:t>
          </w:r>
          <w:r>
            <w:tab/>
          </w:r>
          <w:r>
            <w:fldChar w:fldCharType="begin"/>
          </w:r>
          <w:r>
            <w:instrText xml:space="preserve"> PAGEREF _Toc6063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3EFB5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服务连续性管理</w:t>
          </w:r>
          <w:r>
            <w:tab/>
          </w:r>
          <w:r>
            <w:fldChar w:fldCharType="begin"/>
          </w:r>
          <w:r>
            <w:instrText xml:space="preserve"> PAGEREF _Toc24301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C909D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风险识别与评估</w:t>
          </w:r>
          <w:r>
            <w:tab/>
          </w:r>
          <w:r>
            <w:fldChar w:fldCharType="begin"/>
          </w:r>
          <w:r>
            <w:instrText xml:space="preserve"> PAGEREF _Toc29364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72F6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应急响应与恢复流程</w:t>
          </w:r>
          <w:r>
            <w:tab/>
          </w:r>
          <w:r>
            <w:fldChar w:fldCharType="begin"/>
          </w:r>
          <w:r>
            <w:instrText xml:space="preserve"> PAGEREF _Toc23437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E675B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3.2.1. </w:t>
          </w:r>
          <w:r>
            <w:rPr>
              <w:rFonts w:hint="eastAsia"/>
              <w:lang w:val="en-US" w:eastAsia="zh-CN"/>
            </w:rPr>
            <w:t>事件分级与启动</w:t>
          </w:r>
          <w:r>
            <w:tab/>
          </w:r>
          <w:r>
            <w:fldChar w:fldCharType="begin"/>
          </w:r>
          <w:r>
            <w:instrText xml:space="preserve"> PAGEREF _Toc21095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18D72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3.2.2. </w:t>
          </w:r>
          <w:r>
            <w:rPr>
              <w:rFonts w:hint="eastAsia"/>
              <w:lang w:val="en-US" w:eastAsia="zh-CN"/>
            </w:rPr>
            <w:t>应急指挥</w:t>
          </w:r>
          <w:r>
            <w:tab/>
          </w:r>
          <w:r>
            <w:fldChar w:fldCharType="begin"/>
          </w:r>
          <w:r>
            <w:instrText xml:space="preserve"> PAGEREF _Toc16349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0AA59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3.2.3. </w:t>
          </w:r>
          <w:r>
            <w:rPr>
              <w:rFonts w:hint="eastAsia"/>
              <w:lang w:val="en-US" w:eastAsia="zh-CN"/>
            </w:rPr>
            <w:t>沟通计划</w:t>
          </w:r>
          <w:r>
            <w:tab/>
          </w:r>
          <w:r>
            <w:fldChar w:fldCharType="begin"/>
          </w:r>
          <w:r>
            <w:instrText xml:space="preserve"> PAGEREF _Toc3804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A86D8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3.2.4. </w:t>
          </w:r>
          <w:r>
            <w:rPr>
              <w:rFonts w:hint="eastAsia"/>
              <w:lang w:val="en-US" w:eastAsia="zh-CN"/>
            </w:rPr>
            <w:t>恢复策略</w:t>
          </w:r>
          <w:r>
            <w:tab/>
          </w:r>
          <w:r>
            <w:fldChar w:fldCharType="begin"/>
          </w:r>
          <w:r>
            <w:instrText xml:space="preserve"> PAGEREF _Toc29544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CF794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3.2.5. </w:t>
          </w:r>
          <w:r>
            <w:rPr>
              <w:rFonts w:hint="eastAsia"/>
              <w:lang w:val="en-US" w:eastAsia="zh-CN"/>
            </w:rPr>
            <w:t>技术恢复</w:t>
          </w:r>
          <w:r>
            <w:tab/>
          </w:r>
          <w:r>
            <w:fldChar w:fldCharType="begin"/>
          </w:r>
          <w:r>
            <w:instrText xml:space="preserve"> PAGEREF _Toc18970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DABA5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3.2.6. </w:t>
          </w:r>
          <w:r>
            <w:rPr>
              <w:rFonts w:hint="eastAsia"/>
              <w:lang w:val="en-US" w:eastAsia="zh-CN"/>
            </w:rPr>
            <w:t>服务分流</w:t>
          </w:r>
          <w:r>
            <w:tab/>
          </w:r>
          <w:r>
            <w:fldChar w:fldCharType="begin"/>
          </w:r>
          <w:r>
            <w:instrText xml:space="preserve"> PAGEREF _Toc3640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724A3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3.2.7. </w:t>
          </w:r>
          <w:r>
            <w:rPr>
              <w:rFonts w:hint="eastAsia"/>
              <w:lang w:val="en-US" w:eastAsia="zh-CN"/>
            </w:rPr>
            <w:t>知识调用</w:t>
          </w:r>
          <w:r>
            <w:tab/>
          </w:r>
          <w:r>
            <w:fldChar w:fldCharType="begin"/>
          </w:r>
          <w:r>
            <w:instrText xml:space="preserve"> PAGEREF _Toc10670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57F9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灾难恢复</w:t>
          </w:r>
          <w:r>
            <w:tab/>
          </w:r>
          <w:r>
            <w:fldChar w:fldCharType="begin"/>
          </w:r>
          <w:r>
            <w:instrText xml:space="preserve"> PAGEREF _Toc7820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664D6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演练、评审与改进</w:t>
          </w:r>
          <w:r>
            <w:tab/>
          </w:r>
          <w:r>
            <w:fldChar w:fldCharType="begin"/>
          </w:r>
          <w:r>
            <w:instrText xml:space="preserve"> PAGEREF _Toc11809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4263D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定期演练</w:t>
          </w:r>
          <w:r>
            <w:tab/>
          </w:r>
          <w:r>
            <w:fldChar w:fldCharType="begin"/>
          </w:r>
          <w:r>
            <w:instrText xml:space="preserve"> PAGEREF _Toc10502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1F90B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计划评审与更新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230D3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交付物与报告</w:t>
          </w:r>
          <w:r>
            <w:tab/>
          </w:r>
          <w:r>
            <w:fldChar w:fldCharType="begin"/>
          </w:r>
          <w:r>
            <w:instrText xml:space="preserve"> PAGEREF _Toc8034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E1278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DC869B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54174C8">
      <w:pPr>
        <w:pStyle w:val="28"/>
        <w:bidi w:val="0"/>
        <w:rPr>
          <w:rFonts w:hint="eastAsia"/>
          <w:lang w:val="en-US" w:eastAsia="zh-CN"/>
        </w:rPr>
      </w:pPr>
      <w:bookmarkStart w:id="2" w:name="_Toc18055"/>
      <w:r>
        <w:rPr>
          <w:rFonts w:hint="eastAsia"/>
          <w:lang w:val="en-US" w:eastAsia="zh-CN"/>
        </w:rPr>
        <w:t>计划目标</w:t>
      </w:r>
      <w:bookmarkEnd w:id="2"/>
    </w:p>
    <w:p w14:paraId="7574F77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核心目标： 确保向甲方提供的“翔云系统”运维支持服务，在任何情况下（包括常规运营、高峰期、系统故障及突发事件），每月服务可用性不低于 90%，并具备快速恢复服务、持续交付核心价值的能力。</w:t>
      </w:r>
    </w:p>
    <w:p w14:paraId="4F541C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具体目标：</w:t>
      </w:r>
    </w:p>
    <w:p w14:paraId="30DC5E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最小化中断： 通过主动监控和预防性维护，减少服务中断事件的发生频率和持续时间。</w:t>
      </w:r>
    </w:p>
    <w:p w14:paraId="400596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快速恢复： 建立分级应急响应机制，确保在合同约定的SLA时限内（如P1级2小时内）恢复服务或提供应急方案。</w:t>
      </w:r>
    </w:p>
    <w:p w14:paraId="7754CF1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持续运营： 在面临重大技术故障、自然灾害、公共卫生事件等灾难性场景时，保障核心运维支持功能（如服务台接单、重大事件处理）不中断。</w:t>
      </w:r>
    </w:p>
    <w:p w14:paraId="2C24E6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知识延续： 确保运维知识库的完整性与可访问性，使其在应急状态下仍能作为关键的决策与恢复依据。</w:t>
      </w:r>
    </w:p>
    <w:p w14:paraId="0BD2F8A3">
      <w:pPr>
        <w:pStyle w:val="28"/>
        <w:bidi w:val="0"/>
        <w:rPr>
          <w:rFonts w:hint="eastAsia"/>
          <w:lang w:val="en-US" w:eastAsia="zh-CN"/>
        </w:rPr>
      </w:pPr>
      <w:bookmarkStart w:id="3" w:name="_Toc15364"/>
      <w:r>
        <w:rPr>
          <w:rFonts w:hint="eastAsia"/>
          <w:lang w:val="en-US" w:eastAsia="zh-CN"/>
        </w:rPr>
        <w:t>可用性保障体系</w:t>
      </w:r>
      <w:bookmarkEnd w:id="3"/>
    </w:p>
    <w:p w14:paraId="41A648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基于合同第二条的组织架构，构建多层次可用性保障</w:t>
      </w:r>
    </w:p>
    <w:p w14:paraId="7B99DC4D">
      <w:pPr>
        <w:pStyle w:val="30"/>
        <w:bidi w:val="0"/>
        <w:rPr>
          <w:rFonts w:hint="eastAsia"/>
          <w:lang w:val="en-US" w:eastAsia="zh-CN"/>
        </w:rPr>
      </w:pPr>
      <w:bookmarkStart w:id="4" w:name="_Toc31230"/>
      <w:r>
        <w:rPr>
          <w:rFonts w:hint="eastAsia"/>
          <w:lang w:val="en-US" w:eastAsia="zh-CN"/>
        </w:rPr>
        <w:t>基础设施与工具高可用</w:t>
      </w:r>
      <w:bookmarkEnd w:id="4"/>
    </w:p>
    <w:p w14:paraId="41C86E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服务台系统： 采用负载均衡与热备部署，确保服务热线与在线门户7x24小时可访问。</w:t>
      </w:r>
    </w:p>
    <w:p w14:paraId="6C71F9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知识库平台： 实现多地定时备份与实时同步，支持在主干平台故障时，一键切换至只读备用站点，保障知识检索服务不中断。</w:t>
      </w:r>
    </w:p>
    <w:p w14:paraId="0384BE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远程支持工具： 配备主备两套远程支持与监控工具，确保对翔云系统运行状态的持续可视性。</w:t>
      </w:r>
    </w:p>
    <w:p w14:paraId="02153EE5">
      <w:pPr>
        <w:pStyle w:val="30"/>
        <w:bidi w:val="0"/>
        <w:rPr>
          <w:rFonts w:hint="eastAsia"/>
          <w:lang w:val="en-US" w:eastAsia="zh-CN"/>
        </w:rPr>
      </w:pPr>
      <w:bookmarkStart w:id="5" w:name="_Toc6063"/>
      <w:r>
        <w:rPr>
          <w:rFonts w:hint="eastAsia"/>
          <w:lang w:val="en-US" w:eastAsia="zh-CN"/>
        </w:rPr>
        <w:t>团队冗余与备份机制</w:t>
      </w:r>
      <w:bookmarkEnd w:id="5"/>
    </w:p>
    <w:p w14:paraId="63A14BF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服务台团队： 实施A/B班轮值与跨地域后备支持制度，确保任何时间均有至少两名工程师在岗。</w:t>
      </w:r>
    </w:p>
    <w:p w14:paraId="4391B9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专业知识团队： 遵循“主备岗”原则。为研发支撑组、知识管理组的关键岗位（如SAP接口专家、核心模块运维专家）设立备份人员，定期进行技能交叉培训与演练，确保单一人员缺席不影响服务深度。</w:t>
      </w:r>
    </w:p>
    <w:p w14:paraId="42D624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管理岗备份： 项目经理（运维经理）设立明确的第一、第二备份负责人，分别来自数智运营部管理层及研究总院接口负责人。</w:t>
      </w:r>
    </w:p>
    <w:p w14:paraId="69545FE0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6" w:name="_Toc24301"/>
      <w:r>
        <w:rPr>
          <w:rFonts w:hint="eastAsia"/>
          <w:lang w:val="en-US" w:eastAsia="zh-CN"/>
        </w:rPr>
        <w:t>服务连续性管理</w:t>
      </w:r>
      <w:bookmarkEnd w:id="6"/>
    </w:p>
    <w:p w14:paraId="50557097">
      <w:pPr>
        <w:pStyle w:val="30"/>
        <w:bidi w:val="0"/>
        <w:rPr>
          <w:rFonts w:hint="eastAsia"/>
          <w:lang w:val="en-US" w:eastAsia="zh-CN"/>
        </w:rPr>
      </w:pPr>
      <w:bookmarkStart w:id="7" w:name="_Toc29364"/>
      <w:r>
        <w:rPr>
          <w:rFonts w:hint="eastAsia"/>
          <w:lang w:val="en-US" w:eastAsia="zh-CN"/>
        </w:rPr>
        <w:t>风险识别与评估</w:t>
      </w:r>
      <w:bookmarkEnd w:id="7"/>
    </w:p>
    <w:p w14:paraId="4A8A68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定期（每季度）进行风险评估，识别可能影响服务连续性的内外部风险，如：核心人员流失、供应商（如云平台、通信运营商）服务中断、大规模疫情、区域性电力故障等。</w:t>
      </w:r>
    </w:p>
    <w:p w14:paraId="7FEA43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结合合同附件《初始运维知识库条目清单》中的高频、高影响问题，作为业务影响分析的重点场景。</w:t>
      </w:r>
    </w:p>
    <w:p w14:paraId="57CD3850">
      <w:pPr>
        <w:pStyle w:val="30"/>
        <w:bidi w:val="0"/>
        <w:rPr>
          <w:rFonts w:hint="eastAsia"/>
          <w:lang w:val="en-US" w:eastAsia="zh-CN"/>
        </w:rPr>
      </w:pPr>
      <w:bookmarkStart w:id="8" w:name="_Toc23437"/>
      <w:r>
        <w:rPr>
          <w:rFonts w:hint="eastAsia"/>
          <w:lang w:val="en-US" w:eastAsia="zh-CN"/>
        </w:rPr>
        <w:t>应急响应与恢复流程</w:t>
      </w:r>
      <w:bookmarkEnd w:id="8"/>
    </w:p>
    <w:p w14:paraId="689EEFCB">
      <w:pPr>
        <w:pStyle w:val="31"/>
        <w:bidi w:val="0"/>
        <w:rPr>
          <w:rFonts w:hint="eastAsia"/>
          <w:lang w:val="en-US" w:eastAsia="zh-CN"/>
        </w:rPr>
      </w:pPr>
      <w:bookmarkStart w:id="9" w:name="_Toc21095"/>
      <w:r>
        <w:rPr>
          <w:rFonts w:hint="eastAsia"/>
          <w:lang w:val="en-US" w:eastAsia="zh-CN"/>
        </w:rPr>
        <w:t>事件分级与启动</w:t>
      </w:r>
      <w:bookmarkEnd w:id="9"/>
    </w:p>
    <w:p w14:paraId="59F505B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严格按照合同第四条定义的P1-P4级进行事件定级。P1/P2级事件自动触发本连续性计划。</w:t>
      </w:r>
    </w:p>
    <w:p w14:paraId="23122048">
      <w:pPr>
        <w:pStyle w:val="31"/>
        <w:bidi w:val="0"/>
        <w:rPr>
          <w:rFonts w:hint="eastAsia"/>
          <w:lang w:val="en-US" w:eastAsia="zh-CN"/>
        </w:rPr>
      </w:pPr>
      <w:bookmarkStart w:id="10" w:name="_Toc16349"/>
      <w:r>
        <w:rPr>
          <w:rFonts w:hint="eastAsia"/>
          <w:lang w:val="en-US" w:eastAsia="zh-CN"/>
        </w:rPr>
        <w:t>应急指挥</w:t>
      </w:r>
      <w:bookmarkEnd w:id="10"/>
    </w:p>
    <w:p w14:paraId="5B36D5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在重大事件（P1级）发生时，立即协同数智运营部经理、研究总院技术负责人，成立应急管理部。</w:t>
      </w:r>
    </w:p>
    <w:p w14:paraId="706FC0DF">
      <w:pPr>
        <w:pStyle w:val="31"/>
        <w:bidi w:val="0"/>
        <w:rPr>
          <w:rFonts w:hint="eastAsia"/>
          <w:lang w:val="en-US" w:eastAsia="zh-CN"/>
        </w:rPr>
      </w:pPr>
      <w:bookmarkStart w:id="11" w:name="_Toc3804"/>
      <w:r>
        <w:rPr>
          <w:rFonts w:hint="eastAsia"/>
          <w:lang w:val="en-US" w:eastAsia="zh-CN"/>
        </w:rPr>
        <w:t>沟通计划</w:t>
      </w:r>
      <w:bookmarkEnd w:id="11"/>
    </w:p>
    <w:p w14:paraId="69F844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应急管理部在事件发生后30分钟内，建立与甲方指定接口人的专用沟通通道（如应急电话会议），每小时至少更新一次处理进展，直至事件解决。</w:t>
      </w:r>
    </w:p>
    <w:p w14:paraId="1C256316">
      <w:pPr>
        <w:pStyle w:val="31"/>
        <w:bidi w:val="0"/>
        <w:rPr>
          <w:rFonts w:hint="eastAsia"/>
          <w:lang w:val="en-US" w:eastAsia="zh-CN"/>
        </w:rPr>
      </w:pPr>
      <w:bookmarkStart w:id="12" w:name="_Toc29544"/>
      <w:r>
        <w:rPr>
          <w:rFonts w:hint="eastAsia"/>
          <w:lang w:val="en-US" w:eastAsia="zh-CN"/>
        </w:rPr>
        <w:t>恢复策略</w:t>
      </w:r>
      <w:bookmarkEnd w:id="12"/>
    </w:p>
    <w:p w14:paraId="148E776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按照事件等级启动不同恢复策略。对于P1、P2级事件，应直接调用服务知识中已经验证的流程或脚本进行恢复</w:t>
      </w:r>
    </w:p>
    <w:p w14:paraId="29F425D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按照先主后次的顺序进行恢复</w:t>
      </w:r>
    </w:p>
    <w:p w14:paraId="7EB82D6A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当无法完全恢复时，应当先关闭非核心功能，保障关键业务运行</w:t>
      </w:r>
    </w:p>
    <w:p w14:paraId="714E17A0">
      <w:pPr>
        <w:pStyle w:val="31"/>
        <w:bidi w:val="0"/>
        <w:rPr>
          <w:rFonts w:hint="eastAsia"/>
          <w:lang w:val="en-US" w:eastAsia="zh-CN"/>
        </w:rPr>
      </w:pPr>
      <w:bookmarkStart w:id="13" w:name="_Toc18970"/>
      <w:r>
        <w:rPr>
          <w:rFonts w:hint="eastAsia"/>
          <w:lang w:val="en-US" w:eastAsia="zh-CN"/>
        </w:rPr>
        <w:t>技术恢复</w:t>
      </w:r>
      <w:bookmarkEnd w:id="13"/>
    </w:p>
    <w:p w14:paraId="728BBC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研究总院优先采用知识库中已验证的恢复方案；对于新问题，启用“绿色通道”进行紧急代码分析或数据修复。</w:t>
      </w:r>
    </w:p>
    <w:p w14:paraId="7B840A76">
      <w:pPr>
        <w:pStyle w:val="31"/>
        <w:bidi w:val="0"/>
        <w:rPr>
          <w:rFonts w:hint="eastAsia"/>
          <w:lang w:val="en-US" w:eastAsia="zh-CN"/>
        </w:rPr>
      </w:pPr>
      <w:bookmarkStart w:id="14" w:name="_Toc3640"/>
      <w:r>
        <w:rPr>
          <w:rFonts w:hint="eastAsia"/>
          <w:lang w:val="en-US" w:eastAsia="zh-CN"/>
        </w:rPr>
        <w:t>服务分流</w:t>
      </w:r>
      <w:bookmarkEnd w:id="14"/>
    </w:p>
    <w:p w14:paraId="5940EB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如服务台系统不可用，临时启用备用联系方式（如指定手机、应急邮箱），并公告甲方用户，确保服务请求不丢失。</w:t>
      </w:r>
    </w:p>
    <w:p w14:paraId="5BEF61E1">
      <w:pPr>
        <w:pStyle w:val="31"/>
        <w:bidi w:val="0"/>
        <w:rPr>
          <w:rFonts w:hint="eastAsia"/>
          <w:lang w:val="en-US" w:eastAsia="zh-CN"/>
        </w:rPr>
      </w:pPr>
      <w:bookmarkStart w:id="15" w:name="_Toc10670"/>
      <w:r>
        <w:rPr>
          <w:rFonts w:hint="eastAsia"/>
          <w:lang w:val="en-US" w:eastAsia="zh-CN"/>
        </w:rPr>
        <w:t>知识调用</w:t>
      </w:r>
      <w:bookmarkEnd w:id="15"/>
    </w:p>
    <w:p w14:paraId="29693E8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数智运营部立即检索、整理并分发与当前事件相关的所有历史解决方案和操作指南，支持前线团队。</w:t>
      </w:r>
    </w:p>
    <w:p w14:paraId="3962C851">
      <w:pPr>
        <w:pStyle w:val="30"/>
        <w:bidi w:val="0"/>
        <w:rPr>
          <w:rFonts w:hint="eastAsia"/>
          <w:lang w:val="en-US" w:eastAsia="zh-CN"/>
        </w:rPr>
      </w:pPr>
      <w:bookmarkStart w:id="16" w:name="_Toc7820"/>
      <w:r>
        <w:rPr>
          <w:rFonts w:hint="eastAsia"/>
          <w:lang w:val="en-US" w:eastAsia="zh-CN"/>
        </w:rPr>
        <w:t>灾难恢复</w:t>
      </w:r>
      <w:bookmarkEnd w:id="16"/>
    </w:p>
    <w:p w14:paraId="6C8FEC4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针对可能导致主办公场所无法使用的灾难，启用居家办公应急预案。确保所有关键人员具备安全的远程访问公司核心系统（服务台、服务知识、监控工具）的能力。</w:t>
      </w:r>
    </w:p>
    <w:p w14:paraId="4B0E131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与第三方数据中心或云服务商签订协议，确保在极端情况下，能快速恢复关键业务系统的支撑环境。</w:t>
      </w:r>
    </w:p>
    <w:p w14:paraId="7663A179">
      <w:pPr>
        <w:pStyle w:val="28"/>
        <w:bidi w:val="0"/>
        <w:rPr>
          <w:rFonts w:hint="eastAsia"/>
          <w:lang w:val="en-US" w:eastAsia="zh-CN"/>
        </w:rPr>
      </w:pPr>
      <w:bookmarkStart w:id="17" w:name="_Toc11809"/>
      <w:r>
        <w:rPr>
          <w:rFonts w:hint="eastAsia"/>
          <w:lang w:val="en-US" w:eastAsia="zh-CN"/>
        </w:rPr>
        <w:t>演练、评审与改进</w:t>
      </w:r>
      <w:bookmarkEnd w:id="17"/>
    </w:p>
    <w:p w14:paraId="206449CF">
      <w:pPr>
        <w:pStyle w:val="30"/>
        <w:bidi w:val="0"/>
        <w:rPr>
          <w:rFonts w:hint="eastAsia"/>
          <w:lang w:val="en-US" w:eastAsia="zh-CN"/>
        </w:rPr>
      </w:pPr>
      <w:bookmarkStart w:id="18" w:name="_Toc10502"/>
      <w:r>
        <w:rPr>
          <w:rFonts w:hint="eastAsia"/>
          <w:lang w:val="en-US" w:eastAsia="zh-CN"/>
        </w:rPr>
        <w:t>定期演练</w:t>
      </w:r>
      <w:bookmarkEnd w:id="18"/>
    </w:p>
    <w:p w14:paraId="0534B7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桌面推演：每半年进行一次，模拟合同附件知识库中的典型高难度故障，检验流程有效性。</w:t>
      </w:r>
    </w:p>
    <w:p w14:paraId="0BE12F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实战演练：每年进行一次，在可控范围内模拟真实事件（如服务台系统切换），检验团队响应与工具可靠性。</w:t>
      </w:r>
    </w:p>
    <w:p w14:paraId="47FF549E">
      <w:pPr>
        <w:pStyle w:val="30"/>
        <w:bidi w:val="0"/>
        <w:rPr>
          <w:rFonts w:hint="eastAsia"/>
          <w:lang w:val="en-US" w:eastAsia="zh-CN"/>
        </w:rPr>
      </w:pPr>
      <w:bookmarkStart w:id="19" w:name="_Toc7905"/>
      <w:r>
        <w:rPr>
          <w:rFonts w:hint="eastAsia"/>
          <w:lang w:val="en-US" w:eastAsia="zh-CN"/>
        </w:rPr>
        <w:t>计划评审与更新</w:t>
      </w:r>
      <w:bookmarkEnd w:id="19"/>
    </w:p>
    <w:p w14:paraId="089450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本计划每年由质量管理部牵头进行一次全面评审。</w:t>
      </w:r>
    </w:p>
    <w:p w14:paraId="0885797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每次重大事件处理完毕后，应急管理部须在5个工作日内组织复盘，并将经验教训更新至知识库，必要时修订本计划。</w:t>
      </w:r>
    </w:p>
    <w:p w14:paraId="700533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当甲方业务、翔云系统架构或本合同范围发生重大变更时，本计划须进行即时评审与更新。</w:t>
      </w:r>
    </w:p>
    <w:p w14:paraId="72B20921">
      <w:pPr>
        <w:pStyle w:val="28"/>
        <w:bidi w:val="0"/>
        <w:rPr>
          <w:rFonts w:hint="eastAsia"/>
          <w:lang w:val="en-US" w:eastAsia="zh-CN"/>
        </w:rPr>
      </w:pPr>
      <w:bookmarkStart w:id="20" w:name="_Toc8034"/>
      <w:r>
        <w:rPr>
          <w:rFonts w:hint="eastAsia"/>
          <w:lang w:val="en-US" w:eastAsia="zh-CN"/>
        </w:rPr>
        <w:t>交付物与报告</w:t>
      </w:r>
      <w:bookmarkEnd w:id="20"/>
    </w:p>
    <w:p w14:paraId="54D57C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月度服务报告中将专设“可用性与连续性”章节，向甲方汇报：</w:t>
      </w:r>
    </w:p>
    <w:p w14:paraId="38B62C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当月服务可用率统计。</w:t>
      </w:r>
    </w:p>
    <w:p w14:paraId="546006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服务中断事件的根本原因分析与改进措施。</w:t>
      </w:r>
    </w:p>
    <w:p w14:paraId="4DF7B78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服务知识在事件解决中的调用次数与效果。</w:t>
      </w:r>
    </w:p>
    <w:p w14:paraId="5E41D6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每次连续性计划演练后，向甲方提交演练总结报告。。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E48F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9E57CC"/>
    <w:rsid w:val="029410AB"/>
    <w:rsid w:val="03795BF7"/>
    <w:rsid w:val="045D5BC2"/>
    <w:rsid w:val="054F5A6C"/>
    <w:rsid w:val="0613353C"/>
    <w:rsid w:val="061A5470"/>
    <w:rsid w:val="064E5119"/>
    <w:rsid w:val="06AE7ADB"/>
    <w:rsid w:val="07E55609"/>
    <w:rsid w:val="08C416C3"/>
    <w:rsid w:val="0A556F05"/>
    <w:rsid w:val="0C000C64"/>
    <w:rsid w:val="0E1A3B33"/>
    <w:rsid w:val="0FE97C04"/>
    <w:rsid w:val="10E01568"/>
    <w:rsid w:val="124410FC"/>
    <w:rsid w:val="18AD793A"/>
    <w:rsid w:val="1AF32FC7"/>
    <w:rsid w:val="1B9D139C"/>
    <w:rsid w:val="1C874A89"/>
    <w:rsid w:val="1CF814E3"/>
    <w:rsid w:val="1DA358F3"/>
    <w:rsid w:val="1E317D09"/>
    <w:rsid w:val="1E971C7C"/>
    <w:rsid w:val="1EFD04B3"/>
    <w:rsid w:val="1F4541CC"/>
    <w:rsid w:val="201E5705"/>
    <w:rsid w:val="2099444D"/>
    <w:rsid w:val="25415277"/>
    <w:rsid w:val="25586F13"/>
    <w:rsid w:val="29D63E6D"/>
    <w:rsid w:val="2A176009"/>
    <w:rsid w:val="2A2953D2"/>
    <w:rsid w:val="2B393F0C"/>
    <w:rsid w:val="2C5C1A8E"/>
    <w:rsid w:val="3091782D"/>
    <w:rsid w:val="31B639EF"/>
    <w:rsid w:val="31FE610F"/>
    <w:rsid w:val="33D01A3F"/>
    <w:rsid w:val="358D0068"/>
    <w:rsid w:val="35BA7826"/>
    <w:rsid w:val="374A0346"/>
    <w:rsid w:val="3810372D"/>
    <w:rsid w:val="382724ED"/>
    <w:rsid w:val="39A42C10"/>
    <w:rsid w:val="3A9C574C"/>
    <w:rsid w:val="3AE045A1"/>
    <w:rsid w:val="406F733A"/>
    <w:rsid w:val="408D6263"/>
    <w:rsid w:val="43394480"/>
    <w:rsid w:val="44145783"/>
    <w:rsid w:val="48E22EC4"/>
    <w:rsid w:val="4A7162AD"/>
    <w:rsid w:val="4AA04DE4"/>
    <w:rsid w:val="4AAF5028"/>
    <w:rsid w:val="4F133DD7"/>
    <w:rsid w:val="4F302BDB"/>
    <w:rsid w:val="548359C3"/>
    <w:rsid w:val="54D062C6"/>
    <w:rsid w:val="56E524FD"/>
    <w:rsid w:val="56EC3BB2"/>
    <w:rsid w:val="57B63E99"/>
    <w:rsid w:val="58C85C32"/>
    <w:rsid w:val="5B3C46B5"/>
    <w:rsid w:val="5C3654BB"/>
    <w:rsid w:val="5CA0214F"/>
    <w:rsid w:val="5F523198"/>
    <w:rsid w:val="5FC31187"/>
    <w:rsid w:val="60AF1486"/>
    <w:rsid w:val="61891CD7"/>
    <w:rsid w:val="6202713E"/>
    <w:rsid w:val="63045DC8"/>
    <w:rsid w:val="63095B45"/>
    <w:rsid w:val="65EF672D"/>
    <w:rsid w:val="674F5770"/>
    <w:rsid w:val="681E5697"/>
    <w:rsid w:val="69782D5D"/>
    <w:rsid w:val="6A0E1913"/>
    <w:rsid w:val="6A714B0D"/>
    <w:rsid w:val="6A8B6AC0"/>
    <w:rsid w:val="6AA716B4"/>
    <w:rsid w:val="6B08210E"/>
    <w:rsid w:val="6C4C04D0"/>
    <w:rsid w:val="6CD02EB0"/>
    <w:rsid w:val="6EE3336E"/>
    <w:rsid w:val="6F092829"/>
    <w:rsid w:val="6FB865A9"/>
    <w:rsid w:val="6FE078AE"/>
    <w:rsid w:val="70E145D6"/>
    <w:rsid w:val="71FA0BD5"/>
    <w:rsid w:val="754D1541"/>
    <w:rsid w:val="757C5746"/>
    <w:rsid w:val="7671125F"/>
    <w:rsid w:val="7829776C"/>
    <w:rsid w:val="7B407452"/>
    <w:rsid w:val="7BF24BF0"/>
    <w:rsid w:val="7D256900"/>
    <w:rsid w:val="7DE15BE0"/>
    <w:rsid w:val="7E1C5F55"/>
    <w:rsid w:val="7FF8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1859</Words>
  <Characters>1972</Characters>
  <Lines>0</Lines>
  <Paragraphs>0</Paragraphs>
  <TotalTime>0</TotalTime>
  <ScaleCrop>false</ScaleCrop>
  <LinksUpToDate>false</LinksUpToDate>
  <CharactersWithSpaces>2047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2026-01-28T13:14:45Z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